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天津市西青区兴华中学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实施初中和高中学历教育。全面贯彻党和国家的教育方针，坚持正确的办学方向，制定明确的培养目标，认真执行教育计划，全面实施课程标准，健全规章制度，完善内部机制，努力提高教育教学质量</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天津市西青区兴华中学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单位本级（内设3个职能科室）。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天津市西青区兴华中学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15435099.13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16368237.13</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933138.00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16368237.13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16368237.13</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16368237.13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16368237.13</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16368237.13</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15435099.13</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933138.00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16368237.13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15435099.13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933138.00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16368237.13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15435099.13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933138.00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15258223.48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14325085.48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933138.00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高中教育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1022347.15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1022347.15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87666.50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87666.50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天津市西青区兴华中学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16368237.13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16368237.13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15435099.13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933138.00</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330232</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天津市西青区兴华中学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16368237.13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16368237.13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15435099.13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933138.00</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天津市西青区兴华中学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330232</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天津市西青区兴华中学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16368237.13</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15022813.97</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1345423.16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16368237.13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15022813.97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1345423.16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16368237.13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15022813.97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1345423.16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15258223.48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14002532.82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1255690.66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1022347.15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1020281.15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2066.00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87666.50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87666.50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天津市西青区兴华中学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14089675.97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12635744.82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1453931.15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1345423.16</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14089675.97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12635744.82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1453931.15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1345423.16</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15435099.13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14089675.97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12635744.82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1453931.15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1345423.16</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14325085.48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13069394.82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12545944.82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523450.00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1255690.66</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1022347.15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1020281.15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89800.00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930481.15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2066.00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87666.50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87666.50</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12633644.82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1436531.15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2583927.15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17400.00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1167366.20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347500.00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17400.00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91351.60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3632672.08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81047.58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923781.67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447758.40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606012.73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1007221.68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20676.80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43054.33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2752894.00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99693.50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49103.66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79574.60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116953.99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19586.00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12635744.82</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1453931.15</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天津市西青区兴华中学2025年度政府性基金预算财政拨款收入支出决算表为空表。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天津市西青区兴华中学2025年度国有资本经营预算财政拨款收入支出决算表为空表。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天津市西青区兴华中学2025年财政拨款“三公”经费支出决算表为空表。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天津市西青区兴华中学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1345423.16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1345423.16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1345423.16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1345423.16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1345423.16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1345423.16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1255690.66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1255690.66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1255690.66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1255690.66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2066.00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2066.00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1446.00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1446.00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620.00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620.00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87666.50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87666.50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2024年高校毕业生“三支一扶”补助经费（市级）</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87666.50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87666.50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16,368,237.13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增加4,680,888.74元，增长40.05%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教师转正定级，工资调标补发，以及新进入职人员导致人员经费增加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一般公共预算财政拨款收入15,435,099.13元、其他收入933,138.00元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教育支出16,368,237.13元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天津市西青区兴华中学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16,368,237.13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增加4,680,888.74元，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教师转正定级，工资调标补发，以及新进入职人员导致人员经费增加</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一般公共预算财政拨款收入15,435,099.13元，占94.30%；其他收入933,138.00元，占5.70%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天津市西青区兴华中学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16,368,237.13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增加4,680,888.74元，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教师转正定级，工资调标补发，以及新进入职人员导致人员经费增加</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基本支出15,022,813.97元，占91.78%；项目支出1,345,423.16元，占8.22%</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15,435,099.13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增加4,474,321.24元，增长40.82%，</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教师转正定级，工资调标补发，以及新进入职人员导致人员经费增加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一般公共预算财政拨款15,435,099.13元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教育支出15,435,099.13元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天津市西青区兴华中学2025年度一般公共预算财政拨款支出合计15,435,099.13元，占本年支出合计的94.30%。与2024年度相比，一般公共预算财政拨款支出</w:t>
      </w:r>
      <w:r>
        <w:rPr>
          <w:rFonts w:eastAsia="仿宋_GB2312" w:hint="eastAsia"/>
          <w:sz w:val="30"/>
          <w:szCs w:val="30"/>
          <w:highlight w:val="none"/>
          <w:lang w:val="en-US" w:eastAsia="zh-CN"/>
        </w:rPr>
        <w:t xml:space="preserve">增加4,474,321.24元</w:t>
      </w:r>
      <w:r>
        <w:rPr>
          <w:rFonts w:eastAsia="仿宋_GB2312" w:hint="eastAsia"/>
          <w:sz w:val="30"/>
          <w:szCs w:val="30"/>
          <w:highlight w:val="none"/>
          <w:lang w:val="en-US" w:eastAsia="zh-CN"/>
        </w:rPr>
        <w:t xml:space="preserve">，增长40.82%</w:t>
      </w:r>
      <w:r>
        <w:rPr>
          <w:rFonts w:eastAsia="仿宋_GB2312" w:hint="eastAsia"/>
          <w:sz w:val="30"/>
          <w:szCs w:val="30"/>
          <w:highlight w:val="none"/>
          <w:lang w:val="en-US" w:eastAsia="zh-CN"/>
        </w:rPr>
        <w:t xml:space="preserve">，主要原因是教师转正定级，工资调标补发，以及新进入职人员导致人员经费增加。</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2025年度一般公共预算财政拨款支出15,435,099.13元，主要用于以下方面：</w:t>
      </w:r>
      <w:r>
        <w:rPr>
          <w:rFonts w:eastAsia="仿宋_GB2312" w:hint="eastAsia"/>
          <w:sz w:val="30"/>
          <w:szCs w:val="30"/>
          <w:highlight w:val="none"/>
        </w:rPr>
        <w:t xml:space="preserve">教育支出（类）支出15,435,099.13元，占100.00%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2025年度一般公共预算财政拨款支出年初预算为14,027,755.90元，支出决算为15,435,099.13元</w:t>
      </w:r>
      <w:r>
        <w:rPr>
          <w:rFonts w:eastAsia="仿宋_GB2312" w:hint="eastAsia"/>
          <w:sz w:val="30"/>
          <w:szCs w:val="30"/>
          <w:highlight w:val="none"/>
          <w:lang w:val="en-US" w:eastAsia="zh-CN"/>
        </w:rPr>
        <w:t xml:space="preserve">，完成年初预算的110.03%</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12,368,589.40元，支出决算为14,325,085.48元，完成年初预算的115.82%，决算数大于年初预算数的主要原因是：教师转正定级，工资调标补发，以及新进入职人员导致人员经费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2.教育支出（类）普通教育（款）高中教育（项）年初预算为1,571,500.00元，支出决算为1,022,347.15元，完成年初预算的65.06%，决算数小于年初预算数的主要原因是：厉行节约压减公用经费。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3.教育支出（类）普通教育（款）其他普通教育支出（项）年初预算为87,666.50元，支出决算为87,666.50元，完成年初预算的100.00%，决算数与年初预算数持平的主要原因是：完全按照预算批复执行。</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天津市西青区兴华中学2025年度一般公共预算财政拨款基本支出合计14,089,675.97元，与2024年度相比</w:t>
      </w:r>
      <w:r>
        <w:rPr>
          <w:rFonts w:eastAsia="仿宋_GB2312" w:hint="eastAsia"/>
          <w:sz w:val="30"/>
          <w:szCs w:val="30"/>
          <w:highlight w:val="none"/>
          <w:lang w:val="en-US" w:eastAsia="zh-CN"/>
        </w:rPr>
        <w:t xml:space="preserve">增加5,213,502.29元，</w:t>
      </w:r>
      <w:r>
        <w:rPr>
          <w:rFonts w:eastAsia="仿宋_GB2312" w:hint="eastAsia"/>
          <w:sz w:val="30"/>
          <w:szCs w:val="30"/>
          <w:highlight w:val="none"/>
          <w:lang w:val="en-US" w:eastAsia="zh-CN"/>
        </w:rPr>
        <w:t xml:space="preserve">主要原因是教师转正定级，工资调标补发，以及新进入职人员导致人员经费增加。</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人员经费12,635,744.82元，主要包括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公用经费1,453,931.15元，主要包括</w:t>
      </w:r>
      <w:r>
        <w:rPr>
          <w:rFonts w:eastAsia="仿宋_GB2312" w:hint="eastAsia"/>
          <w:sz w:val="30"/>
          <w:szCs w:val="30"/>
          <w:highlight w:val="none"/>
          <w:lang w:val="en-US" w:eastAsia="zh-CN"/>
        </w:rPr>
        <w:t xml:space="preserve">水费、电费、物业管理费、差旅费、维修(护)费、委托业务费、其他交通费用、办公设备购置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2025年政府采购支出总额2,785,766.24元，其中：政府采购货物支出104,750.00元、政府采购工程支出0.00元、政府采购服务支出2,681,016.24元。授予中小企业合同金额2,681,016.24元，占政府采购支出总额的96.24%，其中：授予小微企业合同金额2,681,016.24元，占政府采购支出总额的96.24%；货物采购授予中小企业合同金额占货物支出金额的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天津市西青区兴华中学2025年度无国有资产占有使用情况。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根据预算绩效管理要求，天津市西青区兴华中学已对4个2025年度项目开展绩效自评，涉及金额1,345,423.16元，自评结果已随部门决算一并公开。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天津市西青区兴华中学不属于乡、镇、街级单位，不涉及公开2025年度教育、医疗卫生、社会保障和就业、住房保障、涉农补贴等民生支出情况。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5797345E-01C5-49DA-8132-F2F605C444BC}"/>
    <w:embedBold r:id="rId2" w:subsetted="1" w:fontKey="{7F8F7774-C3EE-474F-B7D8-3AA33815309D}"/>
  </w:font>
  <w:font w:name="Cambria">
    <w:panose1 w:val="02040503050406030204"/>
    <w:charset w:val="00"/>
    <w:family w:val="roman"/>
    <w:pitch w:val="default"/>
    <w:sig w:usb0="E00006FF" w:usb1="420024FF" w:usb2="02000000" w:usb3="00000000" w:csb0="2000019F" w:csb1="00000000"/>
    <w:embedRegular r:id="rId3" w:fontKey="{F7B7A6F5-0BA4-4404-A86E-E27843F18F5F}"/>
  </w:font>
  <w:font w:name="Calibri">
    <w:panose1 w:val="020F0502020204030204"/>
    <w:charset w:val="00"/>
    <w:family w:val="swiss"/>
    <w:pitch w:val="default"/>
    <w:sig w:usb0="E4002EFF" w:usb1="C200247B" w:usb2="00000009" w:usb3="00000000" w:csb0="200001FF" w:csb1="00000000"/>
    <w:embedRegular r:id="rId4" w:fontKey="{70F40CC0-CD1C-4B4C-8096-23F5EF3996C5}"/>
  </w:font>
  <w:font w:name="黑体">
    <w:panose1 w:val="02010609060101010101"/>
    <w:charset w:val="FFFFFF86"/>
    <w:family w:val="auto"/>
    <w:pitch w:val="default"/>
    <w:sig w:usb0="800002BF" w:usb1="38CF7CFA" w:usb2="00000016" w:usb3="00000000" w:csb0="00040001" w:csb1="00000000"/>
    <w:embedRegular r:id="rId5" w:subsetted="1" w:fontKey="{78FC7F7D-ABBC-451B-A0A7-7BBF7C9E71A1}"/>
    <w:embedBold r:id="rId6" w:subsetted="1" w:fontKey="{70E46048-059E-4226-ABF8-535D535BE1C5}"/>
  </w:font>
  <w:font w:name="方正小标宋简体">
    <w:altName w:val="黑体"/>
    <w:panose1 w:val="02000000000000000000"/>
    <w:charset w:val="FFFFFF86"/>
    <w:family w:val="auto"/>
    <w:pitch w:val="default"/>
    <w:sig w:usb0="00000001" w:usb1="08000000" w:usb2="00000000" w:usb3="00000000" w:csb0="00040000" w:csb1="00000000"/>
    <w:embedRegular r:id="rId7" w:fontKey="{DED983E0-254F-4B1C-82F1-B422F078331D}"/>
    <w:embedBold r:id="rId8" w:fontKey="{1A90AAFE-1D7E-495A-B480-5ACA25EF136F}"/>
  </w:font>
  <w:font w:name="仿宋">
    <w:panose1 w:val="02010609060101010101"/>
    <w:charset w:val="FFFFFF86"/>
    <w:family w:val="auto"/>
    <w:pitch w:val="default"/>
    <w:sig w:usb0="800002BF" w:usb1="38CF7CFA" w:usb2="00000016" w:usb3="00000000" w:csb0="00040001" w:csb1="00000000"/>
    <w:embedRegular r:id="rId9" w:subsetted="1" w:fontKey="{8322CFC5-4308-475B-8CF2-46FFAE9219D1}"/>
    <w:embedBold r:id="rId10" w:subsetted="1" w:fontKey="{F88D4446-44B9-4BA4-A0D8-538C2BF0DA8A}"/>
  </w:font>
  <w:font w:name="方正仿宋_GB2312">
    <w:altName w:val="仿宋"/>
    <w:panose1 w:val="02000000000000000000"/>
    <w:charset w:val="FFFFFF86"/>
    <w:family w:val="auto"/>
    <w:pitch w:val="default"/>
    <w:sig w:usb0="A00002BF" w:usb1="184F6CFA" w:usb2="00000012" w:usb3="00000000" w:csb0="00040001" w:csb1="00000000"/>
    <w:embedRegular r:id="rId11" w:fontKey="{6D0568A3-26EF-402B-A907-681ADA38D6D0}"/>
  </w:font>
  <w:font w:name="仿宋_GB2312">
    <w:altName w:val="仿宋"/>
    <w:panose1 w:val="02010609030101010101"/>
    <w:charset w:val="FFFFFF86"/>
    <w:family w:val="auto"/>
    <w:pitch w:val="default"/>
    <w:sig w:usb0="00000001" w:usb1="080E0000" w:usb2="00000000" w:usb3="00000000" w:csb0="00040000" w:csb1="00000000"/>
    <w:embedRegular r:id="rId12" w:fontKey="{E0B51AF3-B726-4EB9-84D2-28843D4C2DEB}"/>
  </w:font>
  <w:font w:name="方正楷体_GB2312">
    <w:altName w:val="宋体"/>
    <w:panose1 w:val="02000000000000000000"/>
    <w:charset w:val="FFFFFF86"/>
    <w:family w:val="auto"/>
    <w:pitch w:val="default"/>
    <w:sig w:usb0="A00002BF" w:usb1="184F6CFA" w:usb2="00000012" w:usb3="00000000" w:csb0="00040001" w:csb1="00000000"/>
    <w:embedRegular r:id="rId13" w:fontKey="{D3AA8611-B74A-4F2F-8C84-017D018B93AD}"/>
  </w:font>
  <w:font w:name="等线">
    <w:panose1 w:val="02010600030101010101"/>
    <w:charset w:val="FFFFFF86"/>
    <w:family w:val="auto"/>
    <w:pitch w:val="default"/>
    <w:sig w:usb0="A00002BF" w:usb1="38CF7CFA" w:usb2="00000016" w:usb3="00000000" w:csb0="0004000F" w:csb1="00000000"/>
    <w:embedRegular r:id="rId14" w:subsetted="1" w:fontKey="{C12057DE-AD6F-467B-BC72-1182D413FE03}"/>
  </w:font>
  <w:font w:name="楷体">
    <w:panose1 w:val="02010609060101010101"/>
    <w:charset w:val="FFFFFF86"/>
    <w:family w:val="decorative"/>
    <w:pitch w:val="default"/>
    <w:sig w:usb0="800002BF" w:usb1="38CF7CFA" w:usb2="00000016" w:usb3="00000000" w:csb0="00040001" w:csb1="00000000"/>
    <w:embedRegular r:id="rId15" w:subsetted="1" w:fontKey="{DFDCE1D5-F7BD-426C-BDA3-D2E440B6F78B}"/>
    <w:embedBold r:id="rId16" w:subsetted="1" w:fontKey="{75192FE8-4D6D-48DD-AEA5-CE18EA3EBAA7}"/>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