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天津市西青区教育局（本级）</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天津市西青区教育局（本级）</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贯彻执行党和国家关于教育工作的法律、法规和方针、政策。研究拟订全区教育事业发展规划和计划，推进全区教育体制改革，拟订教育事业发展的重点、结构和速度，并组织实施。负责全面推进素质教育，指导学校的德育、智育、体育、卫生、艺术教育、学生军训和国防教育等工作。负责科学管理全区各级各类学校；指导、管理基础教育，统筹管理幼儿教育、职业技术教育、成人教育以及社会力量办学；制定并完善各项管理办法，促进教育教学质量的全面提高。参与拟订改革和完善教育体制的政策、措施，落实筹措教育经费的各项措施，监测教育经费筹措和使用情况；负责全区教育经费的管理。指导全区教育改革和发展的理论研究，指导全区各级各类教育教学研究，搞好师资培训，提高教师素质。组织和管理全区各级各类学校的招生考试工作。协同有关部门改善办学条件和教师生活条件。代表区人民政府对镇人民政府、街办事处及其他有关行政部门的教育管理情况进行督导；负责全区教育工作的督导和评估及基本信息的统计、分析和发布工作。负责全区教育系统对外交流与合作工作。承办区委、区人民政府交办的其他工作</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天津市西青区教育局（本级）</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单位本级（内设11个职能科室）。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天津市西青区教育局（本级）</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225978764.01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225975764.01</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3000.00</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225978764.01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225978764.01</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225978764.01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225978764.01</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天津市西青区教育局（本级）</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225978764.01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225978764.01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225975764.01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225975764.01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教育管理事务</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11678023.99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11678023.99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2050101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行政运行</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11426515.99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11426515.99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2050199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其他教育管理事务支出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251508.00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251508.00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193010023.34</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193010023.34</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学前教育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32529950.80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32529950.80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小学教育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26287344.52</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26287344.52</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49546424.46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49546424.46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2050204</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高中教育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41039489.25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41039489.25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43606814.31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43606814.31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20508</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进修及培训</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734.53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734.53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2050803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培训支出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734.53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734.53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教育费附加安排的支出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21286982.15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21286982.15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2050903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城市中小学校舍建设</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21286982.15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21286982.15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224</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灾害防治及应急管理支出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3000.00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3000.00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22407</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自然灾害救灾及恢复重建支出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3000.00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3000.00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2240704</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自然灾害灾后重建补助</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3000.00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3000.00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天津市西青区教育局（本级）</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225978764.01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225978764.01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225978764.01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330101</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天津市西青区教育局（本级）</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225978764.01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225978764.01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225978764.01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天津市西青区教育局（本级）</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330101</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天津市西青区教育局（本级）</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天津市西青区教育局（本级）</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225978764.01</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11678758.52</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214300005.49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225975764.01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11678758.52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214297005.49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教育管理事务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11678023.99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11678023.99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2050101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行政运行</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11426515.99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11426515.99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2050199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其他教育管理事务支出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251508.00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251508.00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193010023.34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193010023.34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32529950.80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32529950.80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26287344.52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26287344.52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49546424.46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49546424.46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41039489.25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41039489.25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43606814.31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43606814.31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20508</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进修及培训</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734.53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734.53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2050803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培训支出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734.53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734.53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教育费附加安排的支出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21286982.15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21286982.15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2050903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城市中小学校舍建设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21286982.15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21286982.15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224</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22407</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自然灾害救灾及恢复重建支出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2240704</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自然灾害灾后重建补助</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天津市西青区教育局（本级）</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225978764.01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225975764.01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225975764.01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225978764.01</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225978764.01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225978764.01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225978764.01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225978764.01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225978764.01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天津市西青区教育局（本级）</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225978764.01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11678758.52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10770871.14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907887.38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214300005.49</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225975764.01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11678758.52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10770871.14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907887.38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214297005.49</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教育管理事务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11678023.99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11678023.99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10770871.14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907152.85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2050101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行政运行</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11426515.99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11426515.99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10519363.14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907152.85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2050199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其他教育管理事务支出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251508.00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251508.00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251508.00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193010023.34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193010023.34</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32529950.80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32529950.80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26287344.52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26287344.52</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49546424.46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49546424.46</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41039489.25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41039489.25</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43606814.31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43606814.31</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20508</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进修及培训</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734.53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734.53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734.53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2050803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培训支出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734.53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734.53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734.53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教育费附加安排的支出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21286982.15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21286982.15</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2050903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城市中小学校舍建设</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21286982.15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21286982.15</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224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22407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自然灾害救灾及恢复重建支出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2240704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自然灾害灾后重建补助</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3000.00</w:t>
            </w: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天津市西青区教育局（本级）</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10355689.24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907887.38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2011781.50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126318.85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2079300.45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1799731.00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11139.00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730625.28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20087.00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365312.64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456640.80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103200.00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91328.16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39547.82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35356.41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2415269.00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15846.79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370344.00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415181.90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734.53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155273.90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251508.00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24000.00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121056.00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41918.40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323039.00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8400.00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80999.99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10770871.14</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907887.38</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天津市西青区教育局（本级）</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天津市西青区教育局（本级）2025年度政府性基金预算财政拨款收入支出决算表为空表。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天津市西青区教育局（本级）</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天津市西青区教育局（本级）2025年度国有资本经营预算财政拨款收入支出决算表为空表。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天津市西青区教育局（本级）</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天津市西青区教育局（本级）2025年财政拨款“三公”经费支出决算表为空表。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天津市西青区教育局（本级）</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214300005.49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214300005.49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214297005.49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214297005.49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193010023.34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193010023.34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32529950.80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32529950.80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2024年普惠性民办幼儿园市级生均补助</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3003900.00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3003900.00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普惠园生均补助经费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13301100.00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13301100.00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2025年免保育教育费补助资金</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12579335.00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12579335.00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2025年普惠性民办幼儿园生均补助经费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3530000.00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3530000.00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学前（托幼点）视频存储专项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705.80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705.80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2025年学前教育资助政策体系</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114910.00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114910.00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26287344.52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26287344.52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2025年城乡义务教育补助经费-免费教科书（小学）</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86897.18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86897.18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2025年城乡义务教育补助经费-家庭经济困难学生生活补助（小学）</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85250.00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85250.00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街镇学校空调安装（含电路改造）项目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6732926.34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6732926.34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天津南站科技商务区九年一贯制学校建设工程</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城乡义务教育补助经费-公用经费补助（小学）-2024年市级补助</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86427.00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86427.00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天津南站科技商务区九年一贯制学校建设项目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295044.00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295044.00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天津南站科技商务区九年一贯制学校建设项目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17000000.00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17000000.00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2025年城乡义务教育补助经费（市级经费）-公用经费补助-小学</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49546424.46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49546424.46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2025年城乡义务教育补助经费-家庭经济困难学生生活补助（初中）</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天津市西青区体育文化地块中学工程建设项目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9229270.00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9229270.00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新建校装备购置延续项目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6485295.70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6485295.70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兴华中学、赤龙中学装修改造项目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912832.00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912832.00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王稳庄中学建设工程</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806026.76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806026.76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天津市第九十五中学建设项目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赤龙中学装修改造项目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41039489.25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41039489.25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杨柳青一中实验仪器设备改造提升项目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1224939.25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1224939.25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2025年学生资助政策体系（高中国家助学金）</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272050.00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272050.00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天津市第九十五中学建设项目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36542500.00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36542500.00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天津市实验中学西青学校（高中部）建设项目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43606814.31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43606814.31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教育工作经费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1553713.13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1553713.13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教育工作经费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201145.29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201145.29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面向社会公开招聘教师及人才引进专项经费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11140.82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11140.82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2024年扩大中小学教育资源奖补项目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6176521.73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6176521.73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校车服务项目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2446131.34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2446131.34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面向社会公开招聘教师及人才引进专项经费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550000.00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2025年天津市中小学生体质测试与视力筛查项目（市级经费）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262800.00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262800.00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转让为明学校配套支出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32405362.00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32405362.00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教育费附加安排的支出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21286982.15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21286982.15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2050903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城市中小学校舍建设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21286982.15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21286982.15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2050903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街镇学校提升改造项目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433075.00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433075.00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2050903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教育系统建设项目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19553907.15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19553907.15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2050903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教育系统学校建设项目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1300000.00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22407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自然灾害救灾及恢复重建支出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2240704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自然灾害灾后重建补助</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2240704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西青区中小幼学校因受强降雨受损校舍修缮工程配套资金</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天津市西青区教育局（本级）</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225,978,764.01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增加66,971,816.14元，增长42.12%</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项目预算安排增加</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一般公共预算财政拨款收入225,978,764.01元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教育支出225,975,764.01元、灾害防治及应急管理支出3,000.00元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天津市西青区教育局（本级）</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225,978,764.01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增加66,971,816.14元，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项目预算安排增加</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一般公共预算财政拨款收入225,978,764.01元，占100.00%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天津市西青区教育局（本级）</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225,978,764.01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增加66,971,816.14元，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项目预算安排增加</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基本支出11,678,758.52元，占5.17%；项目支出214,300,005.49元，占94.83%</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天津市西青区教育局（本级）</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225,978,764.01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增加66,971,816.14元，增长42.12%，</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项目预算安排增加</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一般公共预算财政拨款225,978,764.01元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教育支出225,975,764.01元、灾害防治及应急管理支出3,000.00元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天津市西青区教育局（本级）2025年度一般公共预算财政拨款支出合计225,978,764.01元，占本年支出合计的100.00%。与2024年度相比，一般公共预算财政拨款支出</w:t>
      </w:r>
      <w:r>
        <w:rPr>
          <w:rFonts w:eastAsia="仿宋_GB2312" w:hint="eastAsia"/>
          <w:sz w:val="30"/>
          <w:szCs w:val="30"/>
          <w:highlight w:val="none"/>
          <w:lang w:val="en-US" w:eastAsia="zh-CN"/>
        </w:rPr>
        <w:t xml:space="preserve">增加66,971,816.14元</w:t>
      </w:r>
      <w:r>
        <w:rPr>
          <w:rFonts w:eastAsia="仿宋_GB2312" w:hint="eastAsia"/>
          <w:sz w:val="30"/>
          <w:szCs w:val="30"/>
          <w:highlight w:val="none"/>
          <w:lang w:val="en-US" w:eastAsia="zh-CN"/>
        </w:rPr>
        <w:t xml:space="preserve">，增长42.12%</w:t>
      </w:r>
      <w:r>
        <w:rPr>
          <w:rFonts w:eastAsia="仿宋_GB2312" w:hint="eastAsia"/>
          <w:sz w:val="30"/>
          <w:szCs w:val="30"/>
          <w:highlight w:val="none"/>
          <w:lang w:val="en-US" w:eastAsia="zh-CN"/>
        </w:rPr>
        <w:t xml:space="preserve">，主要原因是项目预算安排增加。</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2025年度一般公共预算财政拨款支出225,978,764.01元，主要用于以下方面：</w:t>
      </w:r>
      <w:r>
        <w:rPr>
          <w:rFonts w:eastAsia="仿宋_GB2312" w:hint="eastAsia"/>
          <w:sz w:val="30"/>
          <w:szCs w:val="30"/>
          <w:highlight w:val="none"/>
        </w:rPr>
        <w:t xml:space="preserve">教育支出（类）支出225,975,764.01元，占100.00%，灾害防治及应急管理支出（类）支出3,000.00元，占0.00%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2025年度一般公共预算财政拨款支出年初预算为460,496,813.41元，支出决算为225,978,764.01元</w:t>
      </w:r>
      <w:r>
        <w:rPr>
          <w:rFonts w:eastAsia="仿宋_GB2312" w:hint="eastAsia"/>
          <w:sz w:val="30"/>
          <w:szCs w:val="30"/>
          <w:highlight w:val="none"/>
          <w:lang w:val="en-US" w:eastAsia="zh-CN"/>
        </w:rPr>
        <w:t xml:space="preserve">，完成年初预算的49.07%</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1.教育支出（类）教育管理事务（款）行政运行（项）年初预算为11,109,185.00元，支出决算为11,426,515.99元，完成年初预算的102.86%，决算数大于年初预算数的主要原因是：人员经费支出增加。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2.教育支出（类）教育管理事务（款）其他教育管理事务支出（项）年初预算为0.00元，支出决算为251,508.00元，决算数大于年初预算数的主要原因是：退休人员死亡，增加一次性抚恤金支出。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3.教育支出（类）普通教育（款）学前教育（项）年初预算为50,780,790.80元，支出决算为32,529,950.80元，完成年初预算的64.06%，决算数小于年初预算数的主要原因是：落实过紧日子要求，压减项目经费支出。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4.教育支出（类）普通教育（款）小学教育（项）年初预算为44,209,381.77元，支出决算为26,287,344.52元，完成年初预算的59.46%，决算数小于年初预算数的主要原因是：落实过紧日子要求，压减项目经费支出。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5.教育支出（类）普通教育（款）初中教育（项）年初预算为81,657,331.22元，支出决算为49,546,424.46元，完成年初预算的60.68%，决算数小于年初预算数的主要原因是：落实过紧日子要求，压减项目经费支出。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6.教育支出（类）普通教育（款）高中教育（项）年初预算为39,935,064.00元，支出决算为41,039,489.25元，完成年初预算的102.77%，决算数大于年初预算数的主要原因是：年中追加经费，用于实验中学西青学校（高中部）建设项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7.教育支出（类）普通教育（款）其他普通教育支出（项）年初预算为96,402,254.62元，支出决算为43,606,814.31元，完成年初预算的45.23%，决算数小于年初预算数的主要原因是：落实过紧日子要求，压减项目经费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8.教育支出（类）进修及培训（款）培训支出（项）年初预算为3,600.00元，支出决算为734.53元，完成年初预算的20.40%，决算数小于年初预算数的主要原因是：厉行节约，压减培训经费支出。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9.教育支出（类）教育费附加安排的支出（款）城市中小学校舍建设（项）年初预算为136,396,206.00元，支出决算为21,286,982.15元，完成年初预算的15.61%，决算数小于年初预算数的主要原因是：落实过紧日子要求，压减教育系统建设相关项目经费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10.灾害防治及应急管理支出（类）自然灾害救灾及恢复重建支出（款）自然灾害灾后重建补助（项）年初预算为3,000.00元，支出决算为3,000.00元，完成年初预算的100.00%，决算数与年初预算数持平的主要原因是：完全按照预算批复执行中小幼学校因强降雨受损校修缮工程。</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天津市西青区教育局（本级）2025年度一般公共预算财政拨款基本支出合计11,678,758.52元，与2024年度相比</w:t>
      </w:r>
      <w:r>
        <w:rPr>
          <w:rFonts w:eastAsia="仿宋_GB2312" w:hint="eastAsia"/>
          <w:sz w:val="30"/>
          <w:szCs w:val="30"/>
          <w:highlight w:val="none"/>
          <w:lang w:val="en-US" w:eastAsia="zh-CN"/>
        </w:rPr>
        <w:t xml:space="preserve">减少27,829.35元，</w:t>
      </w:r>
      <w:r>
        <w:rPr>
          <w:rFonts w:eastAsia="仿宋_GB2312" w:hint="eastAsia"/>
          <w:sz w:val="30"/>
          <w:szCs w:val="30"/>
          <w:highlight w:val="none"/>
          <w:lang w:val="en-US" w:eastAsia="zh-CN"/>
        </w:rPr>
        <w:t xml:space="preserve">主要原因是厉行节约，压减公用经费支出。</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人员经费10,770,871.14元，主要包括</w:t>
      </w:r>
      <w:r>
        <w:rPr>
          <w:rFonts w:eastAsia="仿宋_GB2312" w:hint="eastAsia"/>
          <w:sz w:val="30"/>
          <w:szCs w:val="30"/>
          <w:highlight w:val="none"/>
          <w:lang w:val="en-US" w:eastAsia="zh-CN"/>
        </w:rPr>
        <w:t xml:space="preserve">基本工资、津贴补贴、奖金、机关事业单位基本养老保险缴费、职业年金缴费、职工基本医疗保险缴费、公务员医疗补助缴费、其他社会保障缴费、住房公积金、其他工资福利支出、退休费、抚恤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公用经费907,887.38元，主要包括</w:t>
      </w:r>
      <w:r>
        <w:rPr>
          <w:rFonts w:eastAsia="仿宋_GB2312" w:hint="eastAsia"/>
          <w:sz w:val="30"/>
          <w:szCs w:val="30"/>
          <w:highlight w:val="none"/>
          <w:lang w:val="en-US" w:eastAsia="zh-CN"/>
        </w:rPr>
        <w:t xml:space="preserve">办公费、水费、邮电费、物业管理费、差旅费、维修(护)费、培训费、委托业务费、工会经费、福利费、其他交通费用、其他商品和服务支出</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天津市西青区教育局（本级）2025年度无政府性基金预算财政拨款收入、支出和结转结余。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天津市西青区教育局（本级）2025年度无国有资本经营预算财政拨款收入、支出和结转结余。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5,000.00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减少5,000.00元</w:t>
      </w:r>
      <w:r>
        <w:rPr>
          <w:rFonts w:eastAsia="仿宋_GB2312" w:hint="eastAsia"/>
          <w:sz w:val="30"/>
          <w:szCs w:val="30"/>
          <w:highlight w:val="none"/>
          <w:lang w:val="en-US" w:eastAsia="zh-CN"/>
        </w:rPr>
        <w:t xml:space="preserve">，完成预算的0.00%</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支出决算较上年减少1,680.00元</w:t>
      </w:r>
      <w:r>
        <w:rPr>
          <w:rFonts w:eastAsia="仿宋_GB2312" w:hint="eastAsia"/>
          <w:sz w:val="30"/>
          <w:szCs w:val="30"/>
          <w:highlight w:val="none"/>
          <w:lang w:val="en-US" w:eastAsia="zh-CN"/>
        </w:rPr>
        <w:t xml:space="preserve">，下降100.00%</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决算数小于预算数的主要原因是本年未用财政拨款列支“三公”经费；</w:t>
      </w:r>
      <w:r>
        <w:rPr>
          <w:rFonts w:eastAsia="仿宋_GB2312" w:hint="eastAsia"/>
          <w:sz w:val="30"/>
          <w:szCs w:val="30"/>
          <w:highlight w:val="none"/>
          <w:lang w:val="en-US" w:eastAsia="zh-CN"/>
        </w:rPr>
        <w:t xml:space="preserve">决算数较上年减少的主要原因是本年未用财政拨款列支“三公”经费。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决算数与预算数持平的主要原因是本年未用财政拨款列支因公出国（境）费；</w:t>
      </w:r>
      <w:r>
        <w:rPr>
          <w:rFonts w:eastAsia="仿宋_GB2312" w:hint="eastAsia"/>
          <w:sz w:val="30"/>
          <w:szCs w:val="30"/>
          <w:highlight w:val="none"/>
          <w:lang w:val="en-US" w:eastAsia="zh-CN"/>
        </w:rPr>
        <w:t xml:space="preserve">决算数较上年持平的主要原因是本年未用财政拨款列支因公出国（境）费。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决算数与预算数持平的主要原因是本年未用财政拨款列支公务用车购置及运行维护费；</w:t>
      </w:r>
      <w:r>
        <w:rPr>
          <w:rFonts w:eastAsia="仿宋_GB2312" w:hint="eastAsia"/>
          <w:sz w:val="30"/>
          <w:szCs w:val="30"/>
          <w:highlight w:val="none"/>
          <w:lang w:val="en-US" w:eastAsia="zh-CN"/>
        </w:rPr>
        <w:t xml:space="preserve">决算数较上年持平的主要原因是本年未用财政拨款列支公务用车购置及运行维护费。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决算数与预算数持平的主要原因是本年未用财政拨款列支公务用车运行维护费；</w:t>
      </w:r>
      <w:r>
        <w:rPr>
          <w:rFonts w:eastAsia="仿宋_GB2312" w:hint="eastAsia"/>
          <w:sz w:val="30"/>
          <w:szCs w:val="30"/>
          <w:highlight w:val="none"/>
          <w:lang w:val="en-US" w:eastAsia="zh-CN"/>
        </w:rPr>
        <w:t xml:space="preserve">决算数较上年持平的主要原因是本年未用财政拨款列支公务用车运行维护费。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决算数与预算数持平的主要原因是本年未用财政拨款列支公务用车购置费；</w:t>
      </w:r>
      <w:r>
        <w:rPr>
          <w:rFonts w:eastAsia="仿宋_GB2312" w:hint="eastAsia"/>
          <w:sz w:val="30"/>
          <w:szCs w:val="30"/>
          <w:highlight w:val="none"/>
          <w:lang w:val="en-US" w:eastAsia="zh-CN"/>
        </w:rPr>
        <w:t xml:space="preserve">决算数较上年持平的主要原因是本年未用财政拨款列支公务用车购置费。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5,000.00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减少5,000.00元</w:t>
      </w:r>
      <w:r>
        <w:rPr>
          <w:rFonts w:eastAsia="仿宋_GB2312" w:hint="eastAsia"/>
          <w:sz w:val="30"/>
          <w:szCs w:val="30"/>
          <w:highlight w:val="none"/>
          <w:lang w:val="en-US" w:eastAsia="zh-CN"/>
        </w:rPr>
        <w:t xml:space="preserve">，完成预算的0.00%</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支出决算较上年减少1,680.00元</w:t>
      </w:r>
      <w:r>
        <w:rPr>
          <w:rFonts w:eastAsia="仿宋_GB2312" w:hint="eastAsia"/>
          <w:sz w:val="30"/>
          <w:szCs w:val="30"/>
          <w:highlight w:val="none"/>
          <w:lang w:val="en-US" w:eastAsia="zh-CN"/>
        </w:rPr>
        <w:t xml:space="preserve">，下降100.00%</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决算数小于预算数的主要原因是本年未用财政拨款列支公务接待费；</w:t>
      </w:r>
      <w:r>
        <w:rPr>
          <w:rFonts w:eastAsia="仿宋_GB2312" w:hint="eastAsia"/>
          <w:sz w:val="30"/>
          <w:szCs w:val="30"/>
          <w:highlight w:val="none"/>
          <w:lang w:val="en-US" w:eastAsia="zh-CN"/>
        </w:rPr>
        <w:t xml:space="preserve">决算数较上年减少的主要原因是本年未用财政拨款列支公务接待费。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机关运行经费是指行政单位和参照公务员法管理的事业单位使用财政拨款安排的基本支出中的日常公用经费支出，天津市西青区教育局（本级）2025年度机关运行经费年初预算1,454,841.00元，决算数907,887.38元，与年初预算相比</w:t>
      </w:r>
      <w:r>
        <w:rPr>
          <w:rFonts w:eastAsia="仿宋_GB2312" w:hint="eastAsia"/>
          <w:sz w:val="30"/>
          <w:szCs w:val="30"/>
          <w:highlight w:val="none"/>
          <w:lang w:val="en-US" w:eastAsia="zh-CN"/>
        </w:rPr>
        <w:t xml:space="preserve">减少546,953.62元，</w:t>
      </w:r>
      <w:r>
        <w:rPr>
          <w:rFonts w:eastAsia="仿宋_GB2312" w:hint="eastAsia"/>
          <w:sz w:val="30"/>
          <w:szCs w:val="30"/>
          <w:highlight w:val="none"/>
          <w:lang w:val="en-US" w:eastAsia="zh-CN"/>
        </w:rPr>
        <w:t xml:space="preserve">完成年初预算的62.40%；</w:t>
      </w:r>
      <w:r>
        <w:rPr>
          <w:rFonts w:eastAsia="仿宋_GB2312" w:hint="eastAsia"/>
          <w:sz w:val="30"/>
          <w:szCs w:val="30"/>
          <w:highlight w:val="none"/>
          <w:lang w:val="en-US" w:eastAsia="zh-CN"/>
        </w:rPr>
        <w:t xml:space="preserve">比2024年减少376,553.80元</w:t>
      </w:r>
      <w:r>
        <w:rPr>
          <w:rFonts w:eastAsia="仿宋_GB2312" w:hint="eastAsia"/>
          <w:sz w:val="30"/>
          <w:szCs w:val="30"/>
          <w:highlight w:val="none"/>
          <w:lang w:val="en-US" w:eastAsia="zh-CN"/>
        </w:rPr>
        <w:t xml:space="preserve">，下降29.32%</w:t>
      </w:r>
      <w:r>
        <w:rPr>
          <w:rFonts w:eastAsia="仿宋_GB2312" w:hint="eastAsia"/>
          <w:sz w:val="30"/>
          <w:szCs w:val="30"/>
          <w:highlight w:val="none"/>
          <w:lang w:val="en-US" w:eastAsia="zh-CN"/>
        </w:rPr>
        <w:t xml:space="preserve">。主要原因是：落实过紧日子要求，厉行节约，压减公用经费支出。</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局（本级）2025年政府采购支出总额59,345,968.46元，其中：政府采购货物支出54,221,968.46元、政府采购工程支出0.00元、政府采购服务支出5,124,000.00元。授予中小企业合同金额42,713,145.91元，占政府采购支出总额的71.97%，其中：授予小微企业合同金额42,713,145.91元，占政府采购支出总额的71.97%；货物采购授予中小企业合同金额占货物支出金额的78.77%，工程采购授予中小企业合同金额占工程支出金额的0.00%，服务采购授予中小企业合同金额占服务支出金额的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天津市西青区教育局（本级）2025年度无国有资产占有使用情况。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根据预算绩效管理要求，天津市西青区教育局（本级）已对36个2025年度项目开展绩效自评，涉及金额377,758,542.09 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天津市西青区教育局（本级）不属于乡、镇、街级单位，不涉及公开2025年度教育、医疗卫生、社会保障和就业、住房保障、涉农补贴等民生支出情况。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F9C6BD12-C528-4460-B0BE-6DCC01BDCB2D}"/>
    <w:embedBold r:id="rId2" w:subsetted="1" w:fontKey="{C5407B3A-2EA8-40C6-B760-898E7A2015E3}"/>
  </w:font>
  <w:font w:name="Cambria">
    <w:panose1 w:val="02040503050406030204"/>
    <w:charset w:val="00"/>
    <w:family w:val="roman"/>
    <w:pitch w:val="default"/>
    <w:sig w:usb0="E00006FF" w:usb1="420024FF" w:usb2="02000000" w:usb3="00000000" w:csb0="2000019F" w:csb1="00000000"/>
    <w:embedRegular r:id="rId3" w:fontKey="{3C71D340-FC29-43D4-B81C-384F1FF0D89B}"/>
  </w:font>
  <w:font w:name="Calibri">
    <w:panose1 w:val="020F0502020204030204"/>
    <w:charset w:val="00"/>
    <w:family w:val="swiss"/>
    <w:pitch w:val="default"/>
    <w:sig w:usb0="E4002EFF" w:usb1="C200247B" w:usb2="00000009" w:usb3="00000000" w:csb0="200001FF" w:csb1="00000000"/>
    <w:embedRegular r:id="rId4" w:fontKey="{70CD7534-9326-4945-97DB-16FF7A19D17D}"/>
  </w:font>
  <w:font w:name="黑体">
    <w:panose1 w:val="02010609060101010101"/>
    <w:charset w:val="FFFFFF86"/>
    <w:family w:val="auto"/>
    <w:pitch w:val="default"/>
    <w:sig w:usb0="800002BF" w:usb1="38CF7CFA" w:usb2="00000016" w:usb3="00000000" w:csb0="00040001" w:csb1="00000000"/>
    <w:embedRegular r:id="rId5" w:subsetted="1" w:fontKey="{CB63BDE0-BEBF-4182-A8ED-AC4BCD670964}"/>
    <w:embedBold r:id="rId6" w:subsetted="1" w:fontKey="{C8D6CE32-372B-4E56-8639-8B6A5BB43352}"/>
  </w:font>
  <w:font w:name="方正小标宋简体">
    <w:altName w:val="黑体"/>
    <w:panose1 w:val="02000000000000000000"/>
    <w:charset w:val="FFFFFF86"/>
    <w:family w:val="auto"/>
    <w:pitch w:val="default"/>
    <w:sig w:usb0="00000001" w:usb1="08000000" w:usb2="00000000" w:usb3="00000000" w:csb0="00040000" w:csb1="00000000"/>
    <w:embedRegular r:id="rId7" w:fontKey="{D1D47E24-80D0-438D-A78E-B62D708E959B}"/>
    <w:embedBold r:id="rId8" w:fontKey="{6EF2A365-1276-4C0A-8820-941C52E26597}"/>
  </w:font>
  <w:font w:name="仿宋">
    <w:panose1 w:val="02010609060101010101"/>
    <w:charset w:val="FFFFFF86"/>
    <w:family w:val="auto"/>
    <w:pitch w:val="default"/>
    <w:sig w:usb0="800002BF" w:usb1="38CF7CFA" w:usb2="00000016" w:usb3="00000000" w:csb0="00040001" w:csb1="00000000"/>
    <w:embedRegular r:id="rId9" w:subsetted="1" w:fontKey="{B4555552-5A36-40BE-A52F-27F730934B61}"/>
    <w:embedBold r:id="rId10" w:subsetted="1" w:fontKey="{2B8CA429-560C-43B0-8463-30127559645D}"/>
  </w:font>
  <w:font w:name="方正仿宋_GB2312">
    <w:altName w:val="仿宋"/>
    <w:panose1 w:val="02000000000000000000"/>
    <w:charset w:val="FFFFFF86"/>
    <w:family w:val="auto"/>
    <w:pitch w:val="default"/>
    <w:sig w:usb0="A00002BF" w:usb1="184F6CFA" w:usb2="00000012" w:usb3="00000000" w:csb0="00040001" w:csb1="00000000"/>
    <w:embedRegular r:id="rId11" w:fontKey="{B950EE54-B31F-4339-A0D5-7DAD0265A18A}"/>
  </w:font>
  <w:font w:name="仿宋_GB2312">
    <w:altName w:val="仿宋"/>
    <w:panose1 w:val="02010609030101010101"/>
    <w:charset w:val="FFFFFF86"/>
    <w:family w:val="auto"/>
    <w:pitch w:val="default"/>
    <w:sig w:usb0="00000001" w:usb1="080E0000" w:usb2="00000000" w:usb3="00000000" w:csb0="00040000" w:csb1="00000000"/>
    <w:embedRegular r:id="rId12" w:fontKey="{6B37353F-7BD4-4D26-BC90-E99411D921E2}"/>
  </w:font>
  <w:font w:name="方正楷体_GB2312">
    <w:altName w:val="宋体"/>
    <w:panose1 w:val="02000000000000000000"/>
    <w:charset w:val="FFFFFF86"/>
    <w:family w:val="auto"/>
    <w:pitch w:val="default"/>
    <w:sig w:usb0="A00002BF" w:usb1="184F6CFA" w:usb2="00000012" w:usb3="00000000" w:csb0="00040001" w:csb1="00000000"/>
    <w:embedRegular r:id="rId13" w:fontKey="{A71780D2-DF91-4EAD-8648-4F254C7A4D5E}"/>
  </w:font>
  <w:font w:name="等线">
    <w:panose1 w:val="02010600030101010101"/>
    <w:charset w:val="FFFFFF86"/>
    <w:family w:val="auto"/>
    <w:pitch w:val="default"/>
    <w:sig w:usb0="A00002BF" w:usb1="38CF7CFA" w:usb2="00000016" w:usb3="00000000" w:csb0="0004000F" w:csb1="00000000"/>
    <w:embedRegular r:id="rId14" w:subsetted="1" w:fontKey="{095A1AEF-E1D0-4535-BF7E-4004761318C7}"/>
  </w:font>
  <w:font w:name="楷体">
    <w:panose1 w:val="02010609060101010101"/>
    <w:charset w:val="FFFFFF86"/>
    <w:family w:val="decorative"/>
    <w:pitch w:val="default"/>
    <w:sig w:usb0="800002BF" w:usb1="38CF7CFA" w:usb2="00000016" w:usb3="00000000" w:csb0="00040001" w:csb1="00000000"/>
    <w:embedRegular r:id="rId15" w:subsetted="1" w:fontKey="{B0D4C83E-E5B7-4C07-8B83-8B6F59775085}"/>
    <w:embedBold r:id="rId16" w:subsetted="1" w:fontKey="{42CF99EA-4E48-41EF-8385-EAD28898E284}"/>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4</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7</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37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