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天津市西青区教育招生考试中心</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管理教育招生考试工作，促进教育综合服务发展。负责学校党组织建设及党员管理，为教育系统党员提供政策咨询、志愿服务、解困帮扶等相关服务工作；负责提供教育装备、促进教育事业发展；负责调拨全区中小学教学设备，购置教学仪器；负责中小学配餐的管理服务，学生、儿童医疗保险参保及理赔，校服集中采购、校车管理及相关服务。负责学生体检及卫生保健等工作</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天津市西青区教育招生考试中心</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单位本级（内设6个职能科室）。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天津市西青区教育招生考试中心</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10709528.78</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10709528.78</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10709528.78</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10709528.78</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10709528.78</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10709528.78</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2059999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10709528.78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天津市西青区教育招生考试中心</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10709528.78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10709528.78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10709528.78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330230</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天津市西青区教育招生考试中心</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10709528.78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10709528.78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10709528.78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天津市西青区教育招生考试中心</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330230</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天津市西青区教育招生考试中心</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10709528.78</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9659598.78</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天津市西青区教育招生考试中心</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9128473.70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531125.08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1049930.00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9128473.70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531125.08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1049930.00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9128473.70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531125.08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1049930.00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10709528.78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9659598.78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9128473.70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531125.08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1049930.00</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8866705.15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531125.08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1958518.17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56690.48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718599.20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2012.00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5851.90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2203077.82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79764.00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592344.32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472997.91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388789.66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67445.96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8946.00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38804.33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2039502.00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6340.00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27098.74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92973.00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261768.55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2333.00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164197.42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25246.00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16055.13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27710.00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98692.00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9673.00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28500.00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118776.74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9128473.70</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531125.08</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天津市西青区教育招生考试中心2025年度政府性基金预算财政拨款收入支出决算表为空表。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天津市西青区教育招生考试中心2025年度国有资本经营预算财政拨款收入支出决算表为空表。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7500.00</w:t>
            </w: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7500.00</w:t>
            </w: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7500.00</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天津市西青区教育招生考试中心</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1049930.00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1049930.00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1049930.00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专项业务费(考试中心)</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40950.00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40950.00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2059999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考试考务专项业务费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1008980.00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1008980.00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10,709,528.78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减少1,736,239.22元，下降13.95%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厉行节约，压减经费支出</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一般公共预算财政拨款收入10,709,528.78元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教育支出10,709,528.78元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天津市西青区教育招生考试中心</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10,709,528.78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减少1,736,239.22元，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厉行节约，压减经费支出</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一般公共预算财政拨款收入10,709,528.78元，占100.00%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天津市西青区教育招生考试中心</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10,709,528.78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减少1,736,239.22元，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厉行节约，压减经费支出</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基本支出9,659,598.78元，占90.20%；项目支出1,049,930.00元，占9.80%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10,709,528.78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减少1,736,239.22元，下降13.95%，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厉行节约，压减经费支出</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一般公共预算财政拨款10,709,528.78元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教育支出10,709,528.78元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天津市西青区教育招生考试中心2025年度一般公共预算财政拨款支出合计10,709,528.78元，占本年支出合计的100.00%。与2024年度相比，一般公共预算财政拨款支出</w:t>
      </w:r>
      <w:r>
        <w:rPr>
          <w:rFonts w:eastAsia="仿宋_GB2312" w:hint="eastAsia"/>
          <w:sz w:val="30"/>
          <w:szCs w:val="30"/>
          <w:highlight w:val="none"/>
          <w:lang w:val="en-US" w:eastAsia="zh-CN"/>
        </w:rPr>
        <w:t xml:space="preserve">减少1,736,239.22元</w:t>
      </w:r>
      <w:r>
        <w:rPr>
          <w:rFonts w:eastAsia="仿宋_GB2312" w:hint="eastAsia"/>
          <w:sz w:val="30"/>
          <w:szCs w:val="30"/>
          <w:highlight w:val="none"/>
          <w:lang w:val="en-US" w:eastAsia="zh-CN"/>
        </w:rPr>
        <w:t xml:space="preserve">,下降13.95%</w:t>
      </w:r>
      <w:r>
        <w:rPr>
          <w:rFonts w:eastAsia="仿宋_GB2312" w:hint="eastAsia"/>
          <w:sz w:val="30"/>
          <w:szCs w:val="30"/>
          <w:highlight w:val="none"/>
          <w:lang w:val="en-US" w:eastAsia="zh-CN"/>
        </w:rPr>
        <w:t xml:space="preserve">，主要原因是厉行节约，压减经费支出。</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2025年度一般公共预算财政拨款支出10,709,528.78元，主要用于以下方面：</w:t>
      </w:r>
      <w:r>
        <w:rPr>
          <w:rFonts w:eastAsia="仿宋_GB2312" w:hint="eastAsia"/>
          <w:sz w:val="30"/>
          <w:szCs w:val="30"/>
          <w:highlight w:val="none"/>
        </w:rPr>
        <w:t xml:space="preserve">教育支出（类）支出10,709,528.78元，占100.00%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2025年度一般公共预算财政拨款支出年初预算为12,948,783.04元，支出决算为10,709,528.78元</w:t>
      </w:r>
      <w:r>
        <w:rPr>
          <w:rFonts w:eastAsia="仿宋_GB2312" w:hint="eastAsia"/>
          <w:sz w:val="30"/>
          <w:szCs w:val="30"/>
          <w:highlight w:val="none"/>
          <w:lang w:val="en-US" w:eastAsia="zh-CN"/>
        </w:rPr>
        <w:t xml:space="preserve">，完成年初预算的82.71%</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1.教育支出（类）其他教育支出（款）其他教育支出（项）年初预算为12,948,783.04元，支出决算为10,709,528.78元，完成年初预算的82.71%，决算数小于年初预算数的主要原因是：厉行节约，压减经费支出。</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天津市西青区教育招生考试中心2025年度一般公共预算财政拨款基本支出合计9,659,598.78元，与2024年度相比</w:t>
      </w:r>
      <w:r>
        <w:rPr>
          <w:rFonts w:eastAsia="仿宋_GB2312" w:hint="eastAsia"/>
          <w:sz w:val="30"/>
          <w:szCs w:val="30"/>
          <w:highlight w:val="none"/>
          <w:lang w:val="en-US" w:eastAsia="zh-CN"/>
        </w:rPr>
        <w:t xml:space="preserve">减少486,079.22元，</w:t>
      </w:r>
      <w:r>
        <w:rPr>
          <w:rFonts w:eastAsia="仿宋_GB2312" w:hint="eastAsia"/>
          <w:sz w:val="30"/>
          <w:szCs w:val="30"/>
          <w:highlight w:val="none"/>
          <w:lang w:val="en-US" w:eastAsia="zh-CN"/>
        </w:rPr>
        <w:t xml:space="preserve">主要原因是厉行节约，压减经费支出。</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人员经费9,128,473.70元，主要包括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公用经费531,125.08元，主要包括</w:t>
      </w:r>
      <w:r>
        <w:rPr>
          <w:rFonts w:eastAsia="仿宋_GB2312" w:hint="eastAsia"/>
          <w:sz w:val="30"/>
          <w:szCs w:val="30"/>
          <w:highlight w:val="none"/>
          <w:lang w:val="en-US" w:eastAsia="zh-CN"/>
        </w:rPr>
        <w:t xml:space="preserve">办公费、手续费、水费、电费、邮电费、取暖费、物业管理费、差旅费、维修(护)费、培训费、工会经费、福利费、公务用车运行维护费、其他交通费用、其他商品和服务支出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20,000.00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7,500.00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减少12,500.00元</w:t>
      </w:r>
      <w:r>
        <w:rPr>
          <w:rFonts w:eastAsia="仿宋_GB2312" w:hint="eastAsia"/>
          <w:sz w:val="30"/>
          <w:szCs w:val="30"/>
          <w:highlight w:val="none"/>
          <w:lang w:val="en-US" w:eastAsia="zh-CN"/>
        </w:rPr>
        <w:t xml:space="preserve">，完成预算的37.50%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支出决算较上年减少4,727.93元</w:t>
      </w:r>
      <w:r>
        <w:rPr>
          <w:rFonts w:eastAsia="仿宋_GB2312" w:hint="eastAsia"/>
          <w:sz w:val="30"/>
          <w:szCs w:val="30"/>
          <w:highlight w:val="none"/>
          <w:lang w:val="en-US" w:eastAsia="zh-CN"/>
        </w:rPr>
        <w:t xml:space="preserve">，下降38.67%</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决算数小于预算数的主要原因是在预算控制范围内，严格把控公车使用，节约公车运维经费；</w:t>
      </w:r>
      <w:r>
        <w:rPr>
          <w:rFonts w:eastAsia="仿宋_GB2312" w:hint="eastAsia"/>
          <w:sz w:val="30"/>
          <w:szCs w:val="30"/>
          <w:highlight w:val="none"/>
          <w:lang w:val="en-US" w:eastAsia="zh-CN"/>
        </w:rPr>
        <w:t xml:space="preserve">决算数较上年减少的主要原因是厉行节约，压减经费支出。</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20,000.00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7,500.00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减少12,500.00元</w:t>
      </w:r>
      <w:r>
        <w:rPr>
          <w:rFonts w:eastAsia="仿宋_GB2312" w:hint="eastAsia"/>
          <w:sz w:val="30"/>
          <w:szCs w:val="30"/>
          <w:highlight w:val="none"/>
          <w:lang w:val="en-US" w:eastAsia="zh-CN"/>
        </w:rPr>
        <w:t xml:space="preserve">，完成预算的37.50%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支出决算较上年减少4,727.93元</w:t>
      </w:r>
      <w:r>
        <w:rPr>
          <w:rFonts w:eastAsia="仿宋_GB2312" w:hint="eastAsia"/>
          <w:sz w:val="30"/>
          <w:szCs w:val="30"/>
          <w:highlight w:val="none"/>
          <w:lang w:val="en-US" w:eastAsia="zh-CN"/>
        </w:rPr>
        <w:t xml:space="preserve">，下降38.67%</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决算数小于预算数的主要原因是在预算控制范围内，严格把控公车使用，节约公车运维经费；</w:t>
      </w:r>
      <w:r>
        <w:rPr>
          <w:rFonts w:eastAsia="仿宋_GB2312" w:hint="eastAsia"/>
          <w:sz w:val="30"/>
          <w:szCs w:val="30"/>
          <w:highlight w:val="none"/>
          <w:lang w:val="en-US" w:eastAsia="zh-CN"/>
        </w:rPr>
        <w:t xml:space="preserve">决算数较上年减少的主要原因是厉行节约，压减经费支出。</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20,000.00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7,500.00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减少12,500.00元</w:t>
      </w:r>
      <w:r>
        <w:rPr>
          <w:rFonts w:eastAsia="仿宋_GB2312" w:hint="eastAsia"/>
          <w:sz w:val="30"/>
          <w:szCs w:val="30"/>
          <w:highlight w:val="none"/>
          <w:lang w:val="en-US" w:eastAsia="zh-CN"/>
        </w:rPr>
        <w:t xml:space="preserve">，完成预算的37.50%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支出决算较上年减少4,727.93元</w:t>
      </w:r>
      <w:r>
        <w:rPr>
          <w:rFonts w:eastAsia="仿宋_GB2312" w:hint="eastAsia"/>
          <w:sz w:val="30"/>
          <w:szCs w:val="30"/>
          <w:highlight w:val="none"/>
          <w:lang w:val="en-US" w:eastAsia="zh-CN"/>
        </w:rPr>
        <w:t xml:space="preserve">，下降38.67%</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决算数小于预算数的主要原因是在预算控制范围内，严格把控公车使用，节约公车运维经费；</w:t>
      </w:r>
      <w:r>
        <w:rPr>
          <w:rFonts w:eastAsia="仿宋_GB2312" w:hint="eastAsia"/>
          <w:sz w:val="30"/>
          <w:szCs w:val="30"/>
          <w:highlight w:val="none"/>
          <w:lang w:val="en-US" w:eastAsia="zh-CN"/>
        </w:rPr>
        <w:t xml:space="preserve">决算数较上年减少的主要原因是厉行节约，压减经费支出。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招生考试中心2025年政府采购支出总额15,380.00元，其中：政府采购货物支出15,380.00元、政府采购工程支出0.00元、政府采购服务支出0.00元。授予中小企业合同金额15,380.00元，占政府采购支出总额的100.00%，其中：授予小微企业合同金额1,780.00元，占政府采购支出总额的11.57%；货物采购授予中小企业合同金额占货物支出金额的100.00%，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截至2025年12月31日，天津市西青区教育招生考试中心共有车辆1辆</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其他用车1辆</w:t>
      </w:r>
      <w:r>
        <w:rPr>
          <w:rFonts w:eastAsia="仿宋_GB2312" w:hint="eastAsia"/>
          <w:sz w:val="30"/>
          <w:szCs w:val="30"/>
          <w:highlight w:val="none"/>
          <w:lang w:val="en-US" w:eastAsia="zh-CN"/>
        </w:rPr>
        <w:t xml:space="preserve">，其他用车主要包括运送试卷车辆</w:t>
      </w:r>
      <w:r>
        <w:rPr>
          <w:rFonts w:eastAsia="仿宋_GB2312" w:hint="eastAsia"/>
          <w:sz w:val="30"/>
          <w:szCs w:val="30"/>
          <w:highlight w:val="none"/>
          <w:lang w:val="en-US" w:eastAsia="zh-CN"/>
        </w:rPr>
        <w:t xml:space="preserve">。单价100万元以上的设备0台（套）。</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根据预算绩效管理要求，天津市西青区教育招生考试中心已对2个2025年度项目开展绩效自评，涉及金额1,049,930.00元，自评结果已随部门决算一并公开。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天津市西青区教育招生考试中心不属于乡、镇、街级单位，不涉及公开2025年度教育、医疗卫生、社会保障和就业、住房保障、涉农补贴等民生支出情况。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9D47B43A-FD71-4657-A16F-C1D7C583D73D}"/>
    <w:embedBold r:id="rId2" w:subsetted="1" w:fontKey="{3CD2E9CB-AC64-41BD-9D39-B0879BC5A87A}"/>
  </w:font>
  <w:font w:name="Cambria">
    <w:panose1 w:val="02040503050406030204"/>
    <w:charset w:val="00"/>
    <w:family w:val="roman"/>
    <w:pitch w:val="default"/>
    <w:sig w:usb0="E00006FF" w:usb1="420024FF" w:usb2="02000000" w:usb3="00000000" w:csb0="2000019F" w:csb1="00000000"/>
    <w:embedRegular r:id="rId3" w:fontKey="{DD4651F7-99DA-4682-ACEF-044CBE70A292}"/>
  </w:font>
  <w:font w:name="Calibri">
    <w:panose1 w:val="020F0502020204030204"/>
    <w:charset w:val="00"/>
    <w:family w:val="swiss"/>
    <w:pitch w:val="default"/>
    <w:sig w:usb0="E4002EFF" w:usb1="C200247B" w:usb2="00000009" w:usb3="00000000" w:csb0="200001FF" w:csb1="00000000"/>
    <w:embedRegular r:id="rId4" w:fontKey="{2E94FD6B-B247-428F-B10E-392AB2F8AC95}"/>
  </w:font>
  <w:font w:name="黑体">
    <w:panose1 w:val="02010609060101010101"/>
    <w:charset w:val="FFFFFF86"/>
    <w:family w:val="auto"/>
    <w:pitch w:val="default"/>
    <w:sig w:usb0="800002BF" w:usb1="38CF7CFA" w:usb2="00000016" w:usb3="00000000" w:csb0="00040001" w:csb1="00000000"/>
    <w:embedRegular r:id="rId5" w:subsetted="1" w:fontKey="{FFB2D4FB-0E59-41F8-B663-AE2EF84B22AF}"/>
    <w:embedBold r:id="rId6" w:subsetted="1" w:fontKey="{05F24267-21F4-40D0-A5D6-1ADC39FA396B}"/>
  </w:font>
  <w:font w:name="方正小标宋简体">
    <w:altName w:val="黑体"/>
    <w:panose1 w:val="02000000000000000000"/>
    <w:charset w:val="FFFFFF86"/>
    <w:family w:val="auto"/>
    <w:pitch w:val="default"/>
    <w:sig w:usb0="00000001" w:usb1="08000000" w:usb2="00000000" w:usb3="00000000" w:csb0="00040000" w:csb1="00000000"/>
    <w:embedRegular r:id="rId7" w:fontKey="{E4217228-7AC2-458E-AA2F-0F263C3D4500}"/>
    <w:embedBold r:id="rId8" w:fontKey="{845B71AA-858D-4FF7-8088-B06333334B76}"/>
  </w:font>
  <w:font w:name="仿宋">
    <w:panose1 w:val="02010609060101010101"/>
    <w:charset w:val="FFFFFF86"/>
    <w:family w:val="auto"/>
    <w:pitch w:val="default"/>
    <w:sig w:usb0="800002BF" w:usb1="38CF7CFA" w:usb2="00000016" w:usb3="00000000" w:csb0="00040001" w:csb1="00000000"/>
    <w:embedRegular r:id="rId9" w:subsetted="1" w:fontKey="{221C5B42-ADD3-4646-ACCB-4D52A477FC01}"/>
    <w:embedBold r:id="rId10" w:subsetted="1" w:fontKey="{C454E69D-6EE6-4434-9CB0-06DCCD592F3D}"/>
  </w:font>
  <w:font w:name="方正仿宋_GB2312">
    <w:altName w:val="仿宋"/>
    <w:panose1 w:val="02000000000000000000"/>
    <w:charset w:val="FFFFFF86"/>
    <w:family w:val="auto"/>
    <w:pitch w:val="default"/>
    <w:sig w:usb0="A00002BF" w:usb1="184F6CFA" w:usb2="00000012" w:usb3="00000000" w:csb0="00040001" w:csb1="00000000"/>
    <w:embedRegular r:id="rId11" w:fontKey="{7847B023-7D34-4F0A-BCDF-5A3527CB7C7D}"/>
  </w:font>
  <w:font w:name="仿宋_GB2312">
    <w:altName w:val="仿宋"/>
    <w:panose1 w:val="02010609030101010101"/>
    <w:charset w:val="FFFFFF86"/>
    <w:family w:val="auto"/>
    <w:pitch w:val="default"/>
    <w:sig w:usb0="00000001" w:usb1="080E0000" w:usb2="00000000" w:usb3="00000000" w:csb0="00040000" w:csb1="00000000"/>
    <w:embedRegular r:id="rId12" w:fontKey="{36820649-6543-416A-93A7-119130F77E38}"/>
  </w:font>
  <w:font w:name="方正楷体_GB2312">
    <w:altName w:val="宋体"/>
    <w:panose1 w:val="02000000000000000000"/>
    <w:charset w:val="FFFFFF86"/>
    <w:family w:val="auto"/>
    <w:pitch w:val="default"/>
    <w:sig w:usb0="A00002BF" w:usb1="184F6CFA" w:usb2="00000012" w:usb3="00000000" w:csb0="00040001" w:csb1="00000000"/>
  </w:font>
  <w:font w:name="等线">
    <w:panose1 w:val="02010600030101010101"/>
    <w:charset w:val="FFFFFF86"/>
    <w:family w:val="auto"/>
    <w:pitch w:val="default"/>
    <w:sig w:usb0="A00002BF" w:usb1="38CF7CFA" w:usb2="00000016" w:usb3="00000000" w:csb0="0004000F" w:csb1="00000000"/>
    <w:embedRegular r:id="rId13" w:subsetted="1" w:fontKey="{BB156739-AAF3-4494-ACD1-184774F998C3}"/>
  </w:font>
  <w:font w:name="楷体">
    <w:panose1 w:val="02010609060101010101"/>
    <w:charset w:val="FFFFFF86"/>
    <w:family w:val="decorative"/>
    <w:pitch w:val="default"/>
    <w:sig w:usb0="800002BF" w:usb1="38CF7CFA" w:usb2="00000016" w:usb3="00000000" w:csb0="00040001" w:csb1="00000000"/>
    <w:embedRegular r:id="rId14" w:subsetted="1" w:fontKey="{FB212F9A-42C3-48B9-AF29-F81420E5F554}"/>
    <w:embedBold r:id="rId15" w:subsetted="1" w:fontKey="{4F8E30F0-CA39-407B-AC84-73D4151A0D9B}"/>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6</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