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天津市西青区王稳庄中学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实施初中义务教育，促进基础教育发展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天津市西青区王稳庄中学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天津市西青区王稳庄中学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38462727.24</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40152451.57</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1689724.33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40152451.57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40152451.57</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40152451.57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40152451.57</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40152451.57</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38462727.24</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1689724.33</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40152451.57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38462727.24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1689724.33</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40152451.57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38462727.24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1689724.33</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39973871.57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38284147.24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1689724.33</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178580.00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178580.00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天津市西青区王稳庄中学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40152451.57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40152451.57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38462727.24</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1689724.33</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330208</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天津市西青区王稳庄中学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40152451.57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40152451.57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38462727.24</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1689724.33</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天津市西青区王稳庄中学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330208</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天津市西青区王稳庄中学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40152451.57</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38016715.08</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40152451.57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38016715.08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40152451.57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38016715.08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39973871.57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37838135.08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178580.00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178580.00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天津市西青区王稳庄中学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36326990.75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35104933.69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1222057.06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2135736.49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36326990.75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35104933.69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1222057.06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2135736.49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38462727.24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36326990.75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35104933.69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1222057.06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2135736.49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38284147.24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36148410.75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34926353.69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1222057.06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2135736.49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178580.00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178580.00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178580.00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34534039.89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1222057.06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7885674.64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3295125.72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1177200.00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6713.20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8821779.21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316243.86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2219204.88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1175007.80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1511905.84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899100.00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181361.80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8165720.00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101060.00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570893.80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306238.80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195290.00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10090.00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36675.00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35104933.69</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1222057.06</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天津市西青区王稳庄中学2025年度政府性基金预算财政拨款收入支出决算表为空表。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天津市西青区王稳庄中学2025年度国有资本经营预算财政拨款收入支出决算表为空表。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天津市西青区王稳庄中学2025年财政拨款“三公”经费支出决算表为空表。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天津市西青区王稳庄中学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2135736.49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2135736.49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2135736.49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人才发展专项资金（人才强区十五条-“三杰”培育项目）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2125736.49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40,152,451.57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减少2,771,925.28元，下降6.46%</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一般公共预算财政拨款收入38,462,727.24元、其他收入1,689,724.33元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教育支出40,152,451.57元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天津市西青区王稳庄中学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40,152,451.57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减少2,771,925.28元，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一般公共预算财政拨款收入38,462,727.24元，占95.79%；其他收入1,689,724.33元，占4.21%</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天津市西青区王稳庄中学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40,152,451.57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减少2,771,925.28元，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基本支出38,016,715.08元，占94.68%；项目支出2,135,736.49元，占5.32%</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38,462,727.24</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减少2,959,923.11元，下降7.15%，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一般公共预算财政拨款38,462,727.24元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教育支出38,462,727.24元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天津市西青区王稳庄中学2025年度一般公共预算财政拨款支出合计38,462,727.24元，占本年支出合计的95.79%。与2024年度相比，一般公共预算财政拨款支出</w:t>
      </w:r>
      <w:r>
        <w:rPr>
          <w:rFonts w:eastAsia="仿宋_GB2312" w:hint="eastAsia"/>
          <w:sz w:val="30"/>
          <w:szCs w:val="30"/>
          <w:highlight w:val="none"/>
          <w:lang w:val="en-US" w:eastAsia="zh-CN"/>
        </w:rPr>
        <w:t xml:space="preserve">减少2,959,923.11元</w:t>
      </w:r>
      <w:r>
        <w:rPr>
          <w:rFonts w:eastAsia="仿宋_GB2312" w:hint="eastAsia"/>
          <w:sz w:val="30"/>
          <w:szCs w:val="30"/>
          <w:highlight w:val="none"/>
          <w:lang w:val="en-US" w:eastAsia="zh-CN"/>
        </w:rPr>
        <w:t xml:space="preserve">,下降7.15%</w:t>
      </w:r>
      <w:r>
        <w:rPr>
          <w:rFonts w:eastAsia="仿宋_GB2312" w:hint="eastAsia"/>
          <w:sz w:val="30"/>
          <w:szCs w:val="30"/>
          <w:highlight w:val="none"/>
          <w:lang w:val="en-US" w:eastAsia="zh-CN"/>
        </w:rPr>
        <w:t xml:space="preserve">，主要原因是落实过紧日子要求，压缩项目及公用经费开支。</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2025年度一般公共预算财政拨款支出38,462,727.24元，主要用于以下方面：</w:t>
      </w:r>
      <w:r>
        <w:rPr>
          <w:rFonts w:eastAsia="仿宋_GB2312" w:hint="eastAsia"/>
          <w:sz w:val="30"/>
          <w:szCs w:val="30"/>
          <w:highlight w:val="none"/>
        </w:rPr>
        <w:t xml:space="preserve">教育支出（类）支出38,462,727.24元，占100.00%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2025年度一般公共预算财政拨款支出年初预算为38,696,535.87元，支出决算为38,462,727.24元</w:t>
      </w:r>
      <w:r>
        <w:rPr>
          <w:rFonts w:eastAsia="仿宋_GB2312" w:hint="eastAsia"/>
          <w:sz w:val="30"/>
          <w:szCs w:val="30"/>
          <w:highlight w:val="none"/>
          <w:lang w:val="en-US" w:eastAsia="zh-CN"/>
        </w:rPr>
        <w:t xml:space="preserve">，完成年初预算的99.40%</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1.教育支出（类）普通教育（款）初中教育（项）年初预算为38,696,535.87元，支出决算为38,284,147.24元，完成年初预算的98.93%，决算数小于年初预算数的主要原因是：落实过紧日子要求，压缩项目及公用经费开支。</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2.教育支出（类）普通教育（款）其他普通教育支出（项）年初预算为0.00元，支出决算为178,580.00元，决算数大于年初预算数的主要原因是：追加预算，用于增加两名退休教师去世慰问金。</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天津市西青区王稳庄中学2025年度一般公共预算财政拨款基本支出合计36,326,990.75元，与2024年度相比</w:t>
      </w:r>
      <w:r>
        <w:rPr>
          <w:rFonts w:eastAsia="仿宋_GB2312" w:hint="eastAsia"/>
          <w:sz w:val="30"/>
          <w:szCs w:val="30"/>
          <w:highlight w:val="none"/>
          <w:lang w:val="en-US" w:eastAsia="zh-CN"/>
        </w:rPr>
        <w:t xml:space="preserve">减少674,019.73元，</w:t>
      </w:r>
      <w:r>
        <w:rPr>
          <w:rFonts w:eastAsia="仿宋_GB2312" w:hint="eastAsia"/>
          <w:sz w:val="30"/>
          <w:szCs w:val="30"/>
          <w:highlight w:val="none"/>
          <w:lang w:val="en-US" w:eastAsia="zh-CN"/>
        </w:rPr>
        <w:t xml:space="preserve">主要原因是落实过紧日子要求，压缩公用经费开支。</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人员经费35,104,933.69元，主要包括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生活补助、医疗费补助、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公用经费1,222,057.06元，主要包括</w:t>
      </w:r>
      <w:r>
        <w:rPr>
          <w:rFonts w:eastAsia="仿宋_GB2312" w:hint="eastAsia"/>
          <w:sz w:val="30"/>
          <w:szCs w:val="30"/>
          <w:highlight w:val="none"/>
          <w:lang w:val="en-US" w:eastAsia="zh-CN"/>
        </w:rPr>
        <w:t xml:space="preserve">水费、电费、物业管理费</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决算数较上年持平的主要原因是本年度及上年均未用财政拨款经费列支三公经费。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2025年政府采购支出总额36,202.50元，其中：政府采购货物支出36,202.50元、政府采购工程支出0.00元、政府采购服务支出0.00元。授予中小企业合同金额9,997.50元，占政府采购支出总额的27.62%，其中：授予小微企业合同金额9,997.50元，占政府采购支出总额的27.62%；货物采购授予中小企业合同金额占货物支出金额的27.62%，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天津市西青区王稳庄中学2025年度无国有资产占有使用情况。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根据预算绩效管理要求，天津市西青区王稳庄中学已对2个2025年度项目开展绩效自评，涉及金额2,135,736.49元，自评结果已随部门决算一并公开。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天津市西青区王稳庄中学不属于乡、镇、街级单位，不涉及公开2025年度教育、医疗卫生、社会保障和就业、住房保障、涉农补贴等民生支出情况。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F80F92C9-1623-4E97-B2E9-3B193CBDB5F4}"/>
    <w:embedBold r:id="rId2" w:subsetted="1" w:fontKey="{1F19B29C-3BE8-4E68-B12B-D235E0A26516}"/>
  </w:font>
  <w:font w:name="Cambria">
    <w:panose1 w:val="02040503050406030204"/>
    <w:charset w:val="00"/>
    <w:family w:val="roman"/>
    <w:pitch w:val="default"/>
    <w:sig w:usb0="E00006FF" w:usb1="420024FF" w:usb2="02000000" w:usb3="00000000" w:csb0="2000019F" w:csb1="00000000"/>
    <w:embedRegular r:id="rId3" w:fontKey="{3393E543-6F9F-4365-B24D-54BB98F0A3D5}"/>
  </w:font>
  <w:font w:name="Calibri">
    <w:panose1 w:val="020F0502020204030204"/>
    <w:charset w:val="00"/>
    <w:family w:val="swiss"/>
    <w:pitch w:val="default"/>
    <w:sig w:usb0="E4002EFF" w:usb1="C200247B" w:usb2="00000009" w:usb3="00000000" w:csb0="200001FF" w:csb1="00000000"/>
    <w:embedRegular r:id="rId4" w:fontKey="{4EB59EDB-1936-49F5-88D1-A2C5073D619B}"/>
  </w:font>
  <w:font w:name="黑体">
    <w:panose1 w:val="02010609060101010101"/>
    <w:charset w:val="FFFFFF86"/>
    <w:family w:val="auto"/>
    <w:pitch w:val="default"/>
    <w:sig w:usb0="800002BF" w:usb1="38CF7CFA" w:usb2="00000016" w:usb3="00000000" w:csb0="00040001" w:csb1="00000000"/>
    <w:embedRegular r:id="rId5" w:subsetted="1" w:fontKey="{A6A27B4E-A99A-4ABF-8687-26A7D897773E}"/>
    <w:embedBold r:id="rId6" w:subsetted="1" w:fontKey="{31273A2E-EEFC-44DF-AEE7-90EB3574A69B}"/>
  </w:font>
  <w:font w:name="方正小标宋简体">
    <w:altName w:val="黑体"/>
    <w:panose1 w:val="02000000000000000000"/>
    <w:charset w:val="FFFFFF86"/>
    <w:family w:val="auto"/>
    <w:pitch w:val="default"/>
    <w:sig w:usb0="00000001" w:usb1="08000000" w:usb2="00000000" w:usb3="00000000" w:csb0="00040000" w:csb1="00000000"/>
    <w:embedRegular r:id="rId7" w:fontKey="{B1A3C962-E7C8-439F-83A0-18BC1A3EB575}"/>
    <w:embedBold r:id="rId8" w:fontKey="{BA513898-034F-4197-A892-DBAB1852324B}"/>
  </w:font>
  <w:font w:name="仿宋">
    <w:panose1 w:val="02010609060101010101"/>
    <w:charset w:val="FFFFFF86"/>
    <w:family w:val="auto"/>
    <w:pitch w:val="default"/>
    <w:sig w:usb0="800002BF" w:usb1="38CF7CFA" w:usb2="00000016" w:usb3="00000000" w:csb0="00040001" w:csb1="00000000"/>
    <w:embedRegular r:id="rId9" w:subsetted="1" w:fontKey="{A58A2309-64D0-4EEC-A0ED-49C1C16276C6}"/>
    <w:embedBold r:id="rId10" w:subsetted="1" w:fontKey="{3A8D8608-1F39-455F-B7E6-95943DDA3890}"/>
  </w:font>
  <w:font w:name="方正仿宋_GB2312">
    <w:altName w:val="仿宋"/>
    <w:panose1 w:val="02000000000000000000"/>
    <w:charset w:val="FFFFFF86"/>
    <w:family w:val="auto"/>
    <w:pitch w:val="default"/>
    <w:sig w:usb0="A00002BF" w:usb1="184F6CFA" w:usb2="00000012" w:usb3="00000000" w:csb0="00040001" w:csb1="00000000"/>
    <w:embedRegular r:id="rId11" w:fontKey="{25BD9281-670A-46EE-865B-1F4B1DD505B8}"/>
  </w:font>
  <w:font w:name="仿宋_GB2312">
    <w:altName w:val="仿宋"/>
    <w:panose1 w:val="02010609030101010101"/>
    <w:charset w:val="FFFFFF86"/>
    <w:family w:val="auto"/>
    <w:pitch w:val="default"/>
    <w:sig w:usb0="00000001" w:usb1="080E0000" w:usb2="00000000" w:usb3="00000000" w:csb0="00040000" w:csb1="00000000"/>
    <w:embedRegular r:id="rId12" w:fontKey="{296F446F-05C4-4B20-959A-F41F11A9990C}"/>
  </w:font>
  <w:font w:name="方正楷体_GB2312">
    <w:altName w:val="宋体"/>
    <w:panose1 w:val="02000000000000000000"/>
    <w:charset w:val="FFFFFF86"/>
    <w:family w:val="auto"/>
    <w:pitch w:val="default"/>
    <w:sig w:usb0="A00002BF" w:usb1="184F6CFA" w:usb2="00000012" w:usb3="00000000" w:csb0="00040001" w:csb1="00000000"/>
    <w:embedRegular r:id="rId13" w:fontKey="{338A63B0-670E-4091-8455-B7AA315012FA}"/>
  </w:font>
  <w:font w:name="等线">
    <w:panose1 w:val="02010600030101010101"/>
    <w:charset w:val="FFFFFF86"/>
    <w:family w:val="auto"/>
    <w:pitch w:val="default"/>
    <w:sig w:usb0="A00002BF" w:usb1="38CF7CFA" w:usb2="00000016" w:usb3="00000000" w:csb0="0004000F" w:csb1="00000000"/>
    <w:embedRegular r:id="rId14" w:subsetted="1" w:fontKey="{ADE7F0DE-CBAF-4F3B-AAED-78BD99A2CBDA}"/>
  </w:font>
  <w:font w:name="楷体">
    <w:panose1 w:val="02010609060101010101"/>
    <w:charset w:val="FFFFFF86"/>
    <w:family w:val="decorative"/>
    <w:pitch w:val="default"/>
    <w:sig w:usb0="800002BF" w:usb1="38CF7CFA" w:usb2="00000016" w:usb3="00000000" w:csb0="00040001" w:csb1="00000000"/>
    <w:embedRegular r:id="rId15" w:subsetted="1" w:fontKey="{5F1D23A1-D463-4F39-978C-16E2C86CA696}"/>
    <w:embedBold r:id="rId16" w:subsetted="1" w:fontKey="{D6668290-748B-43EA-BB7C-5D96F162EFE3}"/>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