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天津市西青区第二实验小学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实施小学教育，促进基础教育发展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天津市西青区第二实验小学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天津市西青区第二实验小学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6882958.01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6908824.01</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25866.00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6908824.01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6908824.01</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6908824.01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6908824.01</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天津市西青区第二实验小学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6908824.01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6882958.01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25866.00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6908824.01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6882958.01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25866.00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6908824.01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6882958.01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25866.00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小学教育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6892131.22</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6866265.22</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25866.00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16692.79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16692.79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天津市西青区第二实验小学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6908824.01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6908824.01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6882958.01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25866.00</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330231</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天津市西青区第二实验小学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6908824.01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6908824.01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6882958.01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25866.00</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天津市西青区第二实验小学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330231</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天津市西青区第二实验小学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天津市西青区第二实验小学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6908824.01</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6139890.91</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768933.10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6908824.01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6139890.91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768933.10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6908824.01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6139890.91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768933.10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6892131.22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6139890.91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752240.31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16692.79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16692.79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天津市西青区第二实验小学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6882958.01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6882958.01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6882958.01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6882958.01</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6882958.01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6882958.01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6882958.01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6882958.01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6882958.01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天津市西青区第二实验小学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6882958.01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6114024.91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5636651.20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477373.71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768933.10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6882958.01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6114024.91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5636651.20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477373.71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768933.10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6882958.01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6114024.91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5636651.20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477373.71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768933.10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6866265.22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6114024.91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5636651.20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477373.71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752240.31</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16692.79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16692.79</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天津市西青区第二实验小学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5633591.20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477373.71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1205560.30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47600.00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539407.40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186600.00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6376.95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1476671.65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57396.76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398164.08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199069.20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173000.00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261300.56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173000.00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17420.73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1294690.00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16571.67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38135.61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5636651.20</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477373.71</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天津市西青区第二实验小学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天津市西青区第二实验小学2025年度政府性基金预算财政拨款收入支出决算表为空表。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天津市西青区第二实验小学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天津市西青区第二实验小学2025年度国有资本经营预算财政拨款收入支出决算表为空表。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天津市西青区第二实验小学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天津市西青区第二实验小学2025年财政拨款“三公”经费支出决算表为空表。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天津市西青区第二实验小学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768933.10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768933.10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768933.10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768933.10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768933.10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768933.10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752240.31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752240.31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752240.31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752240.31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16692.79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16692.79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2024年高校毕业生“三支一扶”补助经费（市级）</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16692.79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16692.79</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6,908,824.01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增加1,067,665.72元，增长18.28%</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人员增加，规模扩大</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一般公共预算财政拨款收入6,882,958.01元、其他收入25,866.00元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教育支出6,908,824.01元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天津市西青区第二实验小学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6,908,824.01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增加1,067,665.72元，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人员增加，规模扩大</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一般公共预算财政拨款收入6,882,958.01元，占99.63%；其他收入25,866.00元，占0.37%</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天津市西青区第二实验小学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6,908,824.01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增加1,067,665.72元，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人员增加，规模扩大</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基本支出6,139,890.91元，占88.87%；项目支出768,933.10元，占11.13%</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6,882,958.01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增加1,063,359.22元，增长18.27%，</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人员增加，规模扩大</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一般公共预算财政拨款6,882,958.01元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教育支出6,882,958.01元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天津市西青区第二实验小学2025年度一般公共预算财政拨款支出合计6,882,958.01元，占本年支出合计的99.63%。与2024年度相比，一般公共预算财政拨款支出</w:t>
      </w:r>
      <w:r>
        <w:rPr>
          <w:rFonts w:eastAsia="仿宋_GB2312" w:hint="eastAsia"/>
          <w:sz w:val="30"/>
          <w:szCs w:val="30"/>
          <w:highlight w:val="none"/>
          <w:lang w:val="en-US" w:eastAsia="zh-CN"/>
        </w:rPr>
        <w:t xml:space="preserve">增加1,063,359.22元</w:t>
      </w:r>
      <w:r>
        <w:rPr>
          <w:rFonts w:eastAsia="仿宋_GB2312" w:hint="eastAsia"/>
          <w:sz w:val="30"/>
          <w:szCs w:val="30"/>
          <w:highlight w:val="none"/>
          <w:lang w:val="en-US" w:eastAsia="zh-CN"/>
        </w:rPr>
        <w:t xml:space="preserve">，增长18.27%</w:t>
      </w:r>
      <w:r>
        <w:rPr>
          <w:rFonts w:eastAsia="仿宋_GB2312" w:hint="eastAsia"/>
          <w:sz w:val="30"/>
          <w:szCs w:val="30"/>
          <w:highlight w:val="none"/>
          <w:lang w:val="en-US" w:eastAsia="zh-CN"/>
        </w:rPr>
        <w:t xml:space="preserve">，主要原因是人员增加，规模扩大。</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2025年度一般公共预算财政拨款支出6,882,958.01元，主要用于以下方面：</w:t>
      </w:r>
      <w:r>
        <w:rPr>
          <w:rFonts w:eastAsia="仿宋_GB2312" w:hint="eastAsia"/>
          <w:sz w:val="30"/>
          <w:szCs w:val="30"/>
          <w:highlight w:val="none"/>
        </w:rPr>
        <w:t xml:space="preserve">教育支出（类）支出6,882,958.01元，占100.00%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2025年度一般公共预算财政拨款支出年初预算为7,288,872.63元，支出决算为6,882,958.01元</w:t>
      </w:r>
      <w:r>
        <w:rPr>
          <w:rFonts w:eastAsia="仿宋_GB2312" w:hint="eastAsia"/>
          <w:sz w:val="30"/>
          <w:szCs w:val="30"/>
          <w:highlight w:val="none"/>
          <w:lang w:val="en-US" w:eastAsia="zh-CN"/>
        </w:rPr>
        <w:t xml:space="preserve">，完成年初预算的94.43%</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1.教育支出（类）普通教育（款）小学教育（项）年初预算为7,272,179.84元，支出决算为6,866,265.22元，完成年初预算的94.42%，决算数小于年初预算数的主要原因是：公用经费支出减少。</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2.教育支出（类）普通教育（款）其他普通教育支出（项）年初预算为16,692.79元，支出决算为16,692.79元，完成年初预算的100.00%，决算数与年初预算数持平的主要原因是：完全按照预算批复执行。</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天津市西青区第二实验小学2025年度一般公共预算财政拨款基本支出合计6,114,024.91元，与2024年度相比</w:t>
      </w:r>
      <w:r>
        <w:rPr>
          <w:rFonts w:eastAsia="仿宋_GB2312" w:hint="eastAsia"/>
          <w:sz w:val="30"/>
          <w:szCs w:val="30"/>
          <w:highlight w:val="none"/>
          <w:lang w:val="en-US" w:eastAsia="zh-CN"/>
        </w:rPr>
        <w:t xml:space="preserve">增加1,828,620.28元，</w:t>
      </w:r>
      <w:r>
        <w:rPr>
          <w:rFonts w:eastAsia="仿宋_GB2312" w:hint="eastAsia"/>
          <w:sz w:val="30"/>
          <w:szCs w:val="30"/>
          <w:highlight w:val="none"/>
          <w:lang w:val="en-US" w:eastAsia="zh-CN"/>
        </w:rPr>
        <w:t xml:space="preserve">主要原因是人员增加，规模扩大。</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人员经费5,636,651.20元，主要包括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其他工资福利支出、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公用经费477,373.71元，主要包括</w:t>
      </w:r>
      <w:r>
        <w:rPr>
          <w:rFonts w:eastAsia="仿宋_GB2312" w:hint="eastAsia"/>
          <w:sz w:val="30"/>
          <w:szCs w:val="30"/>
          <w:highlight w:val="none"/>
          <w:lang w:val="en-US" w:eastAsia="zh-CN"/>
        </w:rPr>
        <w:t xml:space="preserve">办公费、水费、电费、取暖费、物业管理费、维修(护)费</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决算数与预算数持平的主要原因是本年未用财政拨款列支公务接待费；</w:t>
      </w:r>
      <w:r>
        <w:rPr>
          <w:rFonts w:eastAsia="仿宋_GB2312" w:hint="eastAsia"/>
          <w:sz w:val="30"/>
          <w:szCs w:val="30"/>
          <w:highlight w:val="none"/>
          <w:lang w:val="en-US" w:eastAsia="zh-CN"/>
        </w:rPr>
        <w:t xml:space="preserve">决算数较上年持平的主要原因是本年未用财政拨款列支公务接待费。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天津市西青区第二实验小学2025年度无政府采购支出。</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天津市西青区第二实验小学2025年度无国有资产占有使用情况。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根据预算绩效管理要求，天津市西青区第二实验小学已对2个2025年度项目开展绩效自评，涉及金额768,933.10元，自评结果已随部门决算一并公开。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天津市西青区第二实验小学不属于乡、镇、街级单位，不涉及公开2025年度教育、医疗卫生、社会保障和就业、住房保障、涉农补贴等民生支出情况。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63C3C917-59E3-4877-8645-E2F0588885DC}"/>
    <w:embedBold r:id="rId2" w:subsetted="1" w:fontKey="{B5948E5B-A893-416E-90F1-C2E8E24661E7}"/>
  </w:font>
  <w:font w:name="Cambria">
    <w:panose1 w:val="02040503050406030204"/>
    <w:charset w:val="00"/>
    <w:family w:val="roman"/>
    <w:pitch w:val="default"/>
    <w:sig w:usb0="E00006FF" w:usb1="420024FF" w:usb2="02000000" w:usb3="00000000" w:csb0="2000019F" w:csb1="00000000"/>
    <w:embedRegular r:id="rId3" w:fontKey="{B0F9C04F-00FC-45ED-B7CA-019698A792AE}"/>
  </w:font>
  <w:font w:name="Calibri">
    <w:panose1 w:val="020F0502020204030204"/>
    <w:charset w:val="00"/>
    <w:family w:val="swiss"/>
    <w:pitch w:val="default"/>
    <w:sig w:usb0="E4002EFF" w:usb1="C200247B" w:usb2="00000009" w:usb3="00000000" w:csb0="200001FF" w:csb1="00000000"/>
    <w:embedRegular r:id="rId4" w:fontKey="{31ACDF9F-2361-4875-ABDB-0E781D161FD0}"/>
  </w:font>
  <w:font w:name="黑体">
    <w:panose1 w:val="02010609060101010101"/>
    <w:charset w:val="FFFFFF86"/>
    <w:family w:val="auto"/>
    <w:pitch w:val="default"/>
    <w:sig w:usb0="800002BF" w:usb1="38CF7CFA" w:usb2="00000016" w:usb3="00000000" w:csb0="00040001" w:csb1="00000000"/>
    <w:embedRegular r:id="rId5" w:subsetted="1" w:fontKey="{840C9F86-3401-4F20-9DB9-98161503D4BA}"/>
    <w:embedBold r:id="rId6" w:subsetted="1" w:fontKey="{4BC044E5-4713-4D35-B7A4-E49EACEBFB9F}"/>
  </w:font>
  <w:font w:name="方正小标宋简体">
    <w:altName w:val="黑体"/>
    <w:panose1 w:val="02000000000000000000"/>
    <w:charset w:val="FFFFFF86"/>
    <w:family w:val="auto"/>
    <w:pitch w:val="default"/>
    <w:sig w:usb0="00000001" w:usb1="08000000" w:usb2="00000000" w:usb3="00000000" w:csb0="00040000" w:csb1="00000000"/>
    <w:embedRegular r:id="rId7" w:fontKey="{18C2D115-EB9A-4EE2-B527-0E296C105368}"/>
    <w:embedBold r:id="rId8" w:fontKey="{69BEDBF2-B18E-44B2-B87F-17332464738E}"/>
  </w:font>
  <w:font w:name="仿宋">
    <w:panose1 w:val="02010609060101010101"/>
    <w:charset w:val="FFFFFF86"/>
    <w:family w:val="auto"/>
    <w:pitch w:val="default"/>
    <w:sig w:usb0="800002BF" w:usb1="38CF7CFA" w:usb2="00000016" w:usb3="00000000" w:csb0="00040001" w:csb1="00000000"/>
    <w:embedRegular r:id="rId9" w:subsetted="1" w:fontKey="{5226999D-CBBE-421B-884F-D45C26858B15}"/>
    <w:embedBold r:id="rId10" w:subsetted="1" w:fontKey="{69BA0756-EE64-426E-85A9-F6FAA19E5EB6}"/>
  </w:font>
  <w:font w:name="方正仿宋_GB2312">
    <w:altName w:val="仿宋"/>
    <w:panose1 w:val="02000000000000000000"/>
    <w:charset w:val="FFFFFF86"/>
    <w:family w:val="auto"/>
    <w:pitch w:val="default"/>
    <w:sig w:usb0="A00002BF" w:usb1="184F6CFA" w:usb2="00000012" w:usb3="00000000" w:csb0="00040001" w:csb1="00000000"/>
    <w:embedRegular r:id="rId11" w:fontKey="{2130D3F6-D8EB-40DB-A2A7-106CACAB0455}"/>
  </w:font>
  <w:font w:name="仿宋_GB2312">
    <w:altName w:val="仿宋"/>
    <w:panose1 w:val="02010609030101010101"/>
    <w:charset w:val="FFFFFF86"/>
    <w:family w:val="auto"/>
    <w:pitch w:val="default"/>
    <w:sig w:usb0="00000001" w:usb1="080E0000" w:usb2="00000000" w:usb3="00000000" w:csb0="00040000" w:csb1="00000000"/>
    <w:embedRegular r:id="rId12" w:fontKey="{2A971396-AE50-49DD-9F3B-B0278025304D}"/>
  </w:font>
  <w:font w:name="方正楷体_GB2312">
    <w:altName w:val="宋体"/>
    <w:panose1 w:val="02000000000000000000"/>
    <w:charset w:val="FFFFFF86"/>
    <w:family w:val="auto"/>
    <w:pitch w:val="default"/>
    <w:sig w:usb0="A00002BF" w:usb1="184F6CFA" w:usb2="00000012" w:usb3="00000000" w:csb0="00040001" w:csb1="00000000"/>
    <w:embedRegular r:id="rId13" w:fontKey="{F449556C-E595-4FF1-BC66-4C4EC7FCF77C}"/>
  </w:font>
  <w:font w:name="等线">
    <w:panose1 w:val="02010600030101010101"/>
    <w:charset w:val="FFFFFF86"/>
    <w:family w:val="auto"/>
    <w:pitch w:val="default"/>
    <w:sig w:usb0="A00002BF" w:usb1="38CF7CFA" w:usb2="00000016" w:usb3="00000000" w:csb0="0004000F" w:csb1="00000000"/>
    <w:embedRegular r:id="rId14" w:subsetted="1" w:fontKey="{012E3525-E2B6-43C2-B248-7EA58ECB32CE}"/>
  </w:font>
  <w:font w:name="楷体">
    <w:panose1 w:val="02010609060101010101"/>
    <w:charset w:val="FFFFFF86"/>
    <w:family w:val="decorative"/>
    <w:pitch w:val="default"/>
    <w:sig w:usb0="800002BF" w:usb1="38CF7CFA" w:usb2="00000016" w:usb3="00000000" w:csb0="00040001" w:csb1="00000000"/>
    <w:embedRegular r:id="rId15" w:subsetted="1" w:fontKey="{BF61A5A0-6DC7-43BA-8665-204DE85787E4}"/>
    <w:embedBold r:id="rId16" w:subsetted="1" w:fontKey="{2DA79D46-94E8-4D8C-8652-E74D02FC10C0}"/>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23</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26</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