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v:background id="_x0000_s1025" filled="t" fillcolor="white">
      <v:fill color2="white"/>
    </v:background>
  </w:background>
  <w:body>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240" w:lineRule="auto"/>
        <w:jc w:val="center"/>
        <w:rPr>
          <w:rFonts w:ascii="方正小标宋简体" w:eastAsia="方正小标宋简体" w:hAnsi="方正小标宋简体" w:cs="方正小标宋简体" w:hint="eastAsia"/>
          <w:sz w:val="48"/>
          <w:szCs w:val="48"/>
          <w:lang w:val="en-US" w:eastAsia="zh-CN"/>
        </w:rPr>
      </w:pPr>
      <w:r>
        <w:rPr>
          <w:rFonts w:ascii="方正小标宋简体" w:eastAsia="方正小标宋简体" w:hAnsi="方正小标宋简体" w:cs="方正小标宋简体" w:hint="eastAsia"/>
          <w:sz w:val="48"/>
          <w:szCs w:val="48"/>
          <w:lang w:val="en-US" w:eastAsia="zh-CN"/>
        </w:rPr>
        <w:t xml:space="preserve">天津市西青区赤龙中学</w:t>
      </w:r>
    </w:p>
    <w:p>
      <w:pPr>
        <w:divId w:val="0"/>
        <w:spacing w:line="240" w:lineRule="auto"/>
        <w:jc w:val="center"/>
        <w:rPr>
          <w:rFonts w:ascii="方正小标宋简体" w:eastAsia="方正小标宋简体" w:hAnsi="方正小标宋简体" w:cs="方正小标宋简体" w:hint="eastAsia"/>
          <w:w w:val="95"/>
          <w:sz w:val="48"/>
          <w:szCs w:val="48"/>
        </w:rPr>
      </w:pPr>
      <w:r>
        <w:rPr>
          <w:rFonts w:ascii="方正小标宋简体" w:eastAsia="方正小标宋简体" w:hAnsi="方正小标宋简体" w:cs="方正小标宋简体" w:hint="eastAsia"/>
          <w:sz w:val="48"/>
          <w:szCs w:val="48"/>
          <w:lang w:eastAsia="zh-CN"/>
        </w:rPr>
        <w:t xml:space="preserve">202</w:t>
      </w:r>
      <w:r>
        <w:rPr>
          <w:rFonts w:ascii="方正小标宋简体" w:eastAsia="方正小标宋简体" w:hAnsi="方正小标宋简体" w:cs="方正小标宋简体" w:hint="eastAsia"/>
          <w:sz w:val="48"/>
          <w:szCs w:val="48"/>
          <w:lang w:val="en-US" w:eastAsia="zh-CN"/>
        </w:rPr>
        <w:t xml:space="preserve">5</w:t>
      </w:r>
      <w:r>
        <w:rPr>
          <w:rFonts w:ascii="方正小标宋简体" w:eastAsia="方正小标宋简体" w:hAnsi="方正小标宋简体" w:cs="方正小标宋简体" w:hint="eastAsia"/>
          <w:sz w:val="48"/>
          <w:szCs w:val="48"/>
        </w:rPr>
        <w:t xml:space="preserve">年度</w:t>
      </w:r>
      <w:r>
        <w:rPr>
          <w:rFonts w:ascii="方正小标宋简体" w:eastAsia="方正小标宋简体" w:hAnsi="方正小标宋简体" w:cs="方正小标宋简体" w:hint="eastAsia"/>
          <w:sz w:val="48"/>
          <w:szCs w:val="48"/>
          <w:lang w:val="en-US" w:eastAsia="zh-CN"/>
        </w:rPr>
        <w:t xml:space="preserve">单位</w:t>
      </w:r>
      <w:r>
        <w:rPr>
          <w:rFonts w:ascii="方正小标宋简体" w:eastAsia="方正小标宋简体" w:hAnsi="方正小标宋简体" w:cs="方正小标宋简体" w:hint="eastAsia"/>
          <w:sz w:val="48"/>
          <w:szCs w:val="48"/>
        </w:rPr>
        <w:t xml:space="preserve">决算</w:t>
      </w: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600" w:lineRule="exact"/>
        <w:jc w:val="center"/>
        <w:rPr>
          <w:rFonts w:ascii="黑体" w:eastAsia="黑体" w:hint="eastAsia"/>
          <w:sz w:val="44"/>
          <w:szCs w:val="44"/>
        </w:rPr>
        <w:sectPr>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p>
    <w:p>
      <w:pPr>
        <w:divId w:val="0"/>
        <w:spacing w:line="600" w:lineRule="exact"/>
        <w:jc w:val="center"/>
        <w:rPr>
          <w:rFonts w:ascii="黑体" w:eastAsia="黑体" w:hint="eastAsia"/>
          <w:sz w:val="44"/>
          <w:szCs w:val="44"/>
          <w:highlight w:val="none"/>
        </w:rPr>
      </w:pPr>
    </w:p>
    <w:p>
      <w:pPr>
        <w:divId w:val="0"/>
        <w:spacing w:line="600" w:lineRule="exact"/>
        <w:jc w:val="center"/>
        <w:rPr>
          <w:rFonts w:ascii="黑体" w:eastAsia="黑体" w:hint="eastAsia"/>
          <w:sz w:val="44"/>
          <w:szCs w:val="44"/>
          <w:highlight w:val="none"/>
        </w:rPr>
      </w:pPr>
      <w:r>
        <w:rPr>
          <w:rFonts w:ascii="黑体" w:eastAsia="黑体" w:hint="eastAsia"/>
          <w:sz w:val="44"/>
          <w:szCs w:val="44"/>
          <w:highlight w:val="none"/>
        </w:rPr>
        <w:t xml:space="preserve">目</w:t>
      </w:r>
      <w:r>
        <w:rPr>
          <w:rFonts w:ascii="黑体" w:eastAsia="黑体" w:hint="eastAsia"/>
          <w:sz w:val="44"/>
          <w:szCs w:val="44"/>
          <w:highlight w:val="none"/>
        </w:rPr>
        <w:t xml:space="preserve">  </w:t>
      </w:r>
      <w:r>
        <w:rPr>
          <w:rFonts w:ascii="黑体" w:eastAsia="黑体" w:hint="eastAsia"/>
          <w:sz w:val="44"/>
          <w:szCs w:val="44"/>
          <w:highlight w:val="none"/>
        </w:rPr>
        <w:t xml:space="preserve"> </w:t>
      </w:r>
      <w:r>
        <w:rPr>
          <w:rFonts w:ascii="黑体" w:eastAsia="黑体" w:hint="eastAsia"/>
          <w:sz w:val="44"/>
          <w:szCs w:val="44"/>
          <w:highlight w:val="none"/>
        </w:rPr>
        <w:t xml:space="preserve">录</w:t>
      </w:r>
    </w:p>
    <w:p>
      <w:pPr>
        <w:divId w:val="0"/>
        <w:spacing w:line="600" w:lineRule="exact"/>
        <w:rPr>
          <w:rFonts w:ascii="黑体" w:eastAsia="黑体" w:hint="eastAsia"/>
          <w:sz w:val="30"/>
          <w:szCs w:val="30"/>
          <w:highlight w:val="none"/>
        </w:rPr>
      </w:pP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TOC \o "1-3" \h \z \u</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lang w:val="en-US" w:eastAsia="zh-CN"/>
        </w:rPr>
        <w:fldChar w:fldCharType="begin"/>
      </w:r>
      <w:r>
        <w:rPr>
          <w:rFonts w:ascii="方正小标宋简体" w:eastAsia="方正小标宋简体" w:hAnsi="方正小标宋简体" w:cs="方正小标宋简体" w:hint="eastAsia"/>
          <w:sz w:val="30"/>
          <w:szCs w:val="30"/>
          <w:highlight w:val="none"/>
          <w:lang w:val="en-US" w:eastAsia="zh-CN"/>
        </w:rPr>
        <w:instrText xml:space="preserve"> HYPERLINK   \l " "</w:instrText>
      </w:r>
      <w:r>
        <w:rPr>
          <w:rFonts w:ascii="方正小标宋简体" w:eastAsia="方正小标宋简体" w:hAnsi="方正小标宋简体" w:cs="方正小标宋简体"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第一部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概</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况</w:t>
      </w:r>
      <w:r>
        <w:rPr>
          <w:rFonts w:ascii="仿宋" w:eastAsia="仿宋" w:hAnsi="仿宋" w:cs="仿宋" w:hint="eastAsia"/>
          <w:sz w:val="30"/>
          <w:szCs w:val="30"/>
        </w:rPr>
        <w:tab/>
      </w:r>
      <w:r>
        <w:rPr>
          <w:rFonts w:ascii="Times New Roman" w:eastAsia="方正小标宋简体" w:hAnsi="Times New Roman" w:cs="Times New Roman" w:hint="default"/>
          <w:sz w:val="30"/>
          <w:szCs w:val="30"/>
        </w:rPr>
        <w:fldChar w:fldCharType="begin"/>
      </w:r>
      <w:r>
        <w:rPr>
          <w:rFonts w:ascii="Times New Roman" w:eastAsia="方正小标宋简体" w:hAnsi="Times New Roman" w:cs="Times New Roman" w:hint="default"/>
          <w:sz w:val="30"/>
          <w:szCs w:val="30"/>
        </w:rPr>
        <w:instrText xml:space="preserve"> PAGEREF _Toc5805 \h </w:instrText>
      </w:r>
      <w:r>
        <w:rPr>
          <w:rFonts w:ascii="Times New Roman" w:eastAsia="方正小标宋简体" w:hAnsi="Times New Roman" w:cs="Times New Roman" w:hint="default"/>
          <w:sz w:val="30"/>
          <w:szCs w:val="30"/>
        </w:rPr>
        <w:fldChar w:fldCharType="separate"/>
      </w:r>
      <w:r>
        <w:rPr>
          <w:rFonts w:ascii="Times New Roman" w:eastAsia="方正小标宋简体" w:hAnsi="Times New Roman" w:cs="Times New Roman" w:hint="default"/>
          <w:sz w:val="30"/>
          <w:szCs w:val="30"/>
        </w:rPr>
        <w:t xml:space="preserve">1</w:t>
      </w:r>
      <w:r>
        <w:rPr>
          <w:rFonts w:ascii="Times New Roman" w:eastAsia="方正小标宋简体" w:hAnsi="Times New Roman" w:cs="Times New Roman" w:hint="default"/>
          <w:sz w:val="30"/>
          <w:szCs w:val="30"/>
        </w:rPr>
        <w:fldChar w:fldCharType="end"/>
      </w:r>
      <w:r>
        <w:rPr>
          <w:rFonts w:ascii="方正小标宋简体" w:eastAsia="方正小标宋简体" w:hAnsi="方正小标宋简体" w:cs="方正小标宋简体"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rPr>
        <w:t xml:space="preserve">一、主要职责</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_Toc32589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rPr>
        <w:t xml:space="preserve">二、机构设置</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_Toc12571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第二部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lang w:eastAsia="zh-CN"/>
        </w:rPr>
        <w:t xml:space="preserve">202</w:t>
      </w:r>
      <w:r>
        <w:rPr>
          <w:rFonts w:ascii="方正小标宋简体" w:eastAsia="方正小标宋简体" w:hAnsi="方正小标宋简体" w:cs="方正小标宋简体" w:hint="eastAsia"/>
          <w:sz w:val="30"/>
          <w:szCs w:val="30"/>
          <w:highlight w:val="none"/>
          <w:lang w:val="en-US" w:eastAsia="zh-CN"/>
        </w:rPr>
        <w:t xml:space="preserve">5</w:t>
      </w:r>
      <w:r>
        <w:rPr>
          <w:rFonts w:ascii="方正小标宋简体" w:eastAsia="方正小标宋简体" w:hAnsi="方正小标宋简体" w:cs="方正小标宋简体" w:hint="eastAsia"/>
          <w:sz w:val="30"/>
          <w:szCs w:val="30"/>
          <w:highlight w:val="none"/>
        </w:rPr>
        <w:t xml:space="preserve">年度</w:t>
      </w:r>
      <w:r>
        <w:rPr>
          <w:rFonts w:ascii="方正小标宋简体" w:eastAsia="方正小标宋简体" w:hAnsi="方正小标宋简体" w:cs="方正小标宋简体" w:hint="eastAsia"/>
          <w:sz w:val="30"/>
          <w:szCs w:val="30"/>
          <w:highlight w:val="none"/>
          <w:lang w:val="en-US" w:eastAsia="zh-CN"/>
        </w:rPr>
        <w:t xml:space="preserve">单位</w:t>
      </w:r>
      <w:r>
        <w:rPr>
          <w:rFonts w:ascii="方正小标宋简体" w:eastAsia="方正小标宋简体" w:hAnsi="方正小标宋简体" w:cs="方正小标宋简体" w:hint="eastAsia"/>
          <w:sz w:val="30"/>
          <w:szCs w:val="30"/>
          <w:highlight w:val="none"/>
        </w:rPr>
        <w:t xml:space="preserve">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_Toc6935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一、《收入支出决算总表》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_Toc22430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二、《收入决算表（按功能分类列示）》</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_Toc2179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三、《收入决算表（按单位列示）》</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_Toc150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四、《支出决算表》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_Toc32133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6</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五、《财政拨款收入支出决算总表》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_Toc1775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7</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六、《一般公共预算财政拨款支出决算表》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_Toc6908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七、《一般公共预算财政拨款基本支出决算表》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_Toc31529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八、《政府性基金预算财政拨款收入支出决算表》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_Toc15896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九、《国有资本经营预算财政拨款收入支出决算表》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_Toc24983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十、《财政拨</w:t>
      </w:r>
      <w:r>
        <w:rPr>
          <w:rFonts w:ascii="仿宋" w:eastAsia="仿宋" w:hAnsi="仿宋" w:cs="仿宋" w:hint="eastAsia"/>
          <w:bCs/>
          <w:sz w:val="30"/>
          <w:szCs w:val="30"/>
          <w:lang w:val="en-US" w:eastAsia="zh-CN"/>
        </w:rPr>
        <w:t xml:space="preserve">款</w:t>
      </w:r>
      <w:r>
        <w:rPr>
          <w:rFonts w:ascii="仿宋" w:eastAsia="仿宋" w:hAnsi="仿宋" w:cs="仿宋" w:hint="eastAsia"/>
          <w:bCs/>
          <w:sz w:val="30"/>
          <w:szCs w:val="30"/>
          <w:lang w:val="en-US" w:eastAsia="zh-CN"/>
        </w:rPr>
        <w:t xml:space="preserve">“</w:t>
      </w:r>
      <w:r>
        <w:rPr>
          <w:rFonts w:ascii="仿宋" w:eastAsia="仿宋" w:hAnsi="仿宋" w:cs="仿宋" w:hint="eastAsia"/>
          <w:bCs/>
          <w:sz w:val="30"/>
          <w:szCs w:val="30"/>
          <w:lang w:val="en-US" w:eastAsia="zh-CN"/>
        </w:rPr>
        <w:t xml:space="preserve">三</w:t>
      </w:r>
      <w:r>
        <w:rPr>
          <w:rFonts w:ascii="仿宋" w:eastAsia="仿宋" w:hAnsi="仿宋" w:cs="仿宋" w:hint="eastAsia"/>
          <w:bCs/>
          <w:sz w:val="30"/>
          <w:szCs w:val="30"/>
          <w:lang w:val="en-US" w:eastAsia="zh-CN"/>
        </w:rPr>
        <w:t xml:space="preserve">公</w:t>
      </w:r>
      <w:r>
        <w:rPr>
          <w:rFonts w:ascii="仿宋" w:eastAsia="仿宋" w:hAnsi="仿宋" w:cs="仿宋" w:hint="eastAsia"/>
          <w:bCs/>
          <w:sz w:val="30"/>
          <w:szCs w:val="30"/>
          <w:lang w:val="en-US" w:eastAsia="zh-CN"/>
        </w:rPr>
        <w:t xml:space="preserve">”</w:t>
      </w:r>
      <w:r>
        <w:rPr>
          <w:rFonts w:ascii="仿宋" w:eastAsia="仿宋" w:hAnsi="仿宋" w:cs="仿宋" w:hint="eastAsia"/>
          <w:bCs/>
          <w:sz w:val="30"/>
          <w:szCs w:val="30"/>
          <w:lang w:val="en-US" w:eastAsia="zh-CN"/>
        </w:rPr>
        <w:t xml:space="preserve">经费支出决算表》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_Toc11809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16</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十一、《项目支出决算表》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_Toc28580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17</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bCs w:val="0"/>
          <w:sz w:val="30"/>
          <w:szCs w:val="30"/>
          <w:lang w:val="en-US" w:eastAsia="zh-CN"/>
        </w:rPr>
        <w:t xml:space="preserve">第三部</w:t>
      </w:r>
      <w:r>
        <w:rPr>
          <w:rFonts w:ascii="方正小标宋简体" w:eastAsia="方正小标宋简体" w:hAnsi="方正小标宋简体" w:cs="方正小标宋简体" w:hint="eastAsia"/>
          <w:bCs w:val="0"/>
          <w:sz w:val="30"/>
          <w:szCs w:val="30"/>
          <w:lang w:val="en-US" w:eastAsia="zh-CN"/>
        </w:rPr>
        <w:t xml:space="preserve">分</w:t>
      </w:r>
      <w:r>
        <w:rPr>
          <w:rFonts w:ascii="方正小标宋简体" w:eastAsia="方正小标宋简体" w:hAnsi="方正小标宋简体" w:cs="方正小标宋简体" w:hint="eastAsia"/>
          <w:bCs w:val="0"/>
          <w:sz w:val="30"/>
          <w:szCs w:val="30"/>
          <w:lang w:val="en-US" w:eastAsia="zh-CN"/>
        </w:rPr>
        <w:t xml:space="preserve">  202</w:t>
      </w:r>
      <w:r>
        <w:rPr>
          <w:rFonts w:ascii="方正小标宋简体" w:eastAsia="方正小标宋简体" w:hAnsi="方正小标宋简体" w:cs="方正小标宋简体" w:hint="eastAsia"/>
          <w:bCs w:val="0"/>
          <w:sz w:val="30"/>
          <w:szCs w:val="30"/>
          <w:lang w:val="en-US" w:eastAsia="zh-CN"/>
        </w:rPr>
        <w:t xml:space="preserve">5</w:t>
      </w:r>
      <w:r>
        <w:rPr>
          <w:rFonts w:ascii="方正小标宋简体" w:eastAsia="方正小标宋简体" w:hAnsi="方正小标宋简体" w:cs="方正小标宋简体" w:hint="eastAsia"/>
          <w:bCs w:val="0"/>
          <w:sz w:val="30"/>
          <w:szCs w:val="30"/>
          <w:lang w:val="en-US" w:eastAsia="zh-CN"/>
        </w:rPr>
        <w:t xml:space="preserve">年度单位决算情况说明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_Toc4394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一、收入支出决算总体情况说明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_Toc10264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二、收入决算情况说明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_Toc10173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三、支出决算情况说明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_Toc30390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四、财政拨款收支决算总体情况说明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_Toc3712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五、一般公共预算财政拨款支出决算情况说明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_Toc11697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六、一般公共预算财政拨款基本支出决算情况</w:t>
      </w:r>
      <w:r>
        <w:rPr>
          <w:rFonts w:ascii="仿宋" w:eastAsia="仿宋" w:hAnsi="仿宋" w:cs="仿宋" w:hint="eastAsia"/>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_Toc32353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七</w:t>
      </w:r>
      <w:r>
        <w:rPr>
          <w:rFonts w:ascii="仿宋" w:eastAsia="仿宋" w:hAnsi="仿宋" w:cs="仿宋" w:hint="eastAsia"/>
          <w:sz w:val="30"/>
          <w:szCs w:val="30"/>
          <w:highlight w:val="none"/>
        </w:rPr>
        <w:t xml:space="preserve">、政府性基金预算财政拨款收支决算情况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_Toc7101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八</w:t>
      </w:r>
      <w:r>
        <w:rPr>
          <w:rFonts w:ascii="仿宋" w:eastAsia="仿宋" w:hAnsi="仿宋" w:cs="仿宋" w:hint="eastAsia"/>
          <w:sz w:val="30"/>
          <w:szCs w:val="30"/>
          <w:highlight w:val="none"/>
        </w:rPr>
        <w:t xml:space="preserve">、国有资本经营预算财政拨款收支决算情况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_Toc1743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九</w:t>
      </w:r>
      <w:r>
        <w:rPr>
          <w:rFonts w:ascii="仿宋" w:eastAsia="仿宋" w:hAnsi="仿宋" w:cs="仿宋" w:hint="eastAsia"/>
          <w:sz w:val="30"/>
          <w:szCs w:val="30"/>
          <w:highlight w:val="none"/>
        </w:rPr>
        <w:t xml:space="preserve">、财政拨</w:t>
      </w:r>
      <w:r>
        <w:rPr>
          <w:rFonts w:ascii="仿宋" w:eastAsia="仿宋" w:hAnsi="仿宋" w:cs="仿宋" w:hint="eastAsia"/>
          <w:sz w:val="30"/>
          <w:szCs w:val="30"/>
          <w:highlight w:val="none"/>
        </w:rPr>
        <w:t xml:space="preserve">款</w:t>
      </w:r>
      <w:r>
        <w:rPr>
          <w:rFonts w:ascii="仿宋" w:eastAsia="仿宋" w:hAnsi="仿宋" w:cs="仿宋" w:hint="eastAsia"/>
          <w:sz w:val="30"/>
          <w:szCs w:val="30"/>
          <w:highlight w:val="none"/>
        </w:rPr>
        <w:t xml:space="preserve">“</w:t>
      </w:r>
      <w:r>
        <w:rPr>
          <w:rFonts w:ascii="仿宋" w:eastAsia="仿宋" w:hAnsi="仿宋" w:cs="仿宋" w:hint="eastAsia"/>
          <w:sz w:val="30"/>
          <w:szCs w:val="30"/>
          <w:highlight w:val="none"/>
        </w:rPr>
        <w:t xml:space="preserve">三</w:t>
      </w:r>
      <w:r>
        <w:rPr>
          <w:rFonts w:ascii="仿宋" w:eastAsia="仿宋" w:hAnsi="仿宋" w:cs="仿宋" w:hint="eastAsia"/>
          <w:sz w:val="30"/>
          <w:szCs w:val="30"/>
          <w:highlight w:val="none"/>
        </w:rPr>
        <w:t xml:space="preserve">公</w:t>
      </w:r>
      <w:r>
        <w:rPr>
          <w:rFonts w:ascii="仿宋" w:eastAsia="仿宋" w:hAnsi="仿宋" w:cs="仿宋" w:hint="eastAsia"/>
          <w:sz w:val="30"/>
          <w:szCs w:val="30"/>
          <w:highlight w:val="none"/>
        </w:rPr>
        <w:t xml:space="preserve">”</w:t>
      </w:r>
      <w:r>
        <w:rPr>
          <w:rFonts w:ascii="仿宋" w:eastAsia="仿宋" w:hAnsi="仿宋" w:cs="仿宋" w:hint="eastAsia"/>
          <w:sz w:val="30"/>
          <w:szCs w:val="30"/>
          <w:highlight w:val="none"/>
        </w:rPr>
        <w:t xml:space="preserve">经费支出决算情况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_Toc26580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十、机关运行经费支出情况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_Toc23303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一</w:t>
      </w:r>
      <w:r>
        <w:rPr>
          <w:rFonts w:ascii="仿宋" w:eastAsia="仿宋" w:hAnsi="仿宋" w:cs="仿宋" w:hint="eastAsia"/>
          <w:sz w:val="30"/>
          <w:szCs w:val="30"/>
          <w:highlight w:val="none"/>
        </w:rPr>
        <w:t xml:space="preserve">、政府采购支出情况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_Toc2013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二</w:t>
      </w:r>
      <w:r>
        <w:rPr>
          <w:rFonts w:ascii="仿宋" w:eastAsia="仿宋" w:hAnsi="仿宋" w:cs="仿宋" w:hint="eastAsia"/>
          <w:sz w:val="30"/>
          <w:szCs w:val="30"/>
          <w:highlight w:val="none"/>
        </w:rPr>
        <w:t xml:space="preserve">、国有资产占有使用情况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_Toc21119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lang w:val="en-US" w:eastAsia="zh-CN"/>
        </w:rPr>
        <w:t xml:space="preserve">十三、预算绩效情况说明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_Toc4570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四</w:t>
      </w:r>
      <w:r>
        <w:rPr>
          <w:rFonts w:ascii="仿宋" w:eastAsia="仿宋" w:hAnsi="仿宋" w:cs="仿宋" w:hint="eastAsia"/>
          <w:sz w:val="30"/>
          <w:szCs w:val="30"/>
          <w:highlight w:val="none"/>
        </w:rPr>
        <w:t xml:space="preserve">、教育、医疗卫生、社会保障和就业、住房保障、涉农补贴等民生支出情况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_Toc32245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第四部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名词解释</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_Toc25423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Times New Roman" w:eastAsia="方正仿宋_GB2312" w:hAnsi="Times New Roman"/>
          <w:sz w:val="32"/>
          <w:szCs w:val="32"/>
          <w:highlight w:val="none"/>
        </w:rPr>
        <w:sectPr>
          <w:footerReference w:type="default" r:id="rId4"/>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r>
        <w:rPr>
          <w:rFonts w:ascii="仿宋" w:eastAsia="仿宋" w:hAnsi="仿宋" w:cs="仿宋" w:hint="eastAsia"/>
          <w:sz w:val="30"/>
          <w:szCs w:val="30"/>
          <w:highlight w:val="none"/>
          <w:lang w:val="en-US" w:eastAsia="zh-CN"/>
        </w:rPr>
        <w:fldChar w:fldCharType="end"/>
      </w:r>
    </w:p>
    <w:p>
      <w:pPr>
        <w:rPr>
          <w:rFonts w:hint="eastAsia"/>
          <w:highlight w:val="none"/>
        </w:rPr>
      </w:pP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0" w:name="_Toc5805"/>
      <w:r>
        <w:rPr>
          <w:rFonts w:ascii="方正小标宋简体" w:eastAsia="方正小标宋简体" w:hAnsi="方正小标宋简体" w:cs="方正小标宋简体" w:hint="eastAsia"/>
          <w:b w:val="0"/>
          <w:lang w:val="en-US" w:eastAsia="zh-CN"/>
        </w:rPr>
        <w:t xml:space="preserve">第一部分  概 况</w:t>
      </w:r>
      <w:bookmarkEnd w:id="0"/>
    </w:p>
    <w:p>
      <w:pPr>
        <w:divId w:val="0"/>
        <w:spacing w:line="600" w:lineRule="exact"/>
        <w:rPr>
          <w:rFonts w:hint="eastAsia"/>
          <w:highlight w:val="none"/>
        </w:rPr>
      </w:pPr>
    </w:p>
    <w:p>
      <w:pPr>
        <w:pStyle w:val="标题2"/>
        <w:wordWrap w:val="0"/>
        <w:spacing w:before="0" w:after="0" w:line="800" w:lineRule="exact"/>
        <w:ind w:firstLine="600" w:firstLineChars="200"/>
        <w:rPr>
          <w:rFonts w:ascii="黑体" w:eastAsia="黑体" w:hAnsi="黑体" w:hint="eastAsia"/>
          <w:b w:val="0"/>
          <w:bCs w:val="0"/>
          <w:sz w:val="30"/>
          <w:szCs w:val="30"/>
          <w:highlight w:val="none"/>
        </w:rPr>
      </w:pPr>
      <w:bookmarkStart w:id="1" w:name="_Toc32589"/>
      <w:r>
        <w:rPr>
          <w:rFonts w:ascii="黑体" w:eastAsia="黑体" w:hAnsi="黑体" w:hint="eastAsia"/>
          <w:sz w:val="30"/>
          <w:szCs w:val="30"/>
          <w:lang w:val="en-US" w:eastAsia="zh-CN"/>
        </w:rPr>
        <w:t xml:space="preserve">一、主要职责</w:t>
      </w:r>
      <w:bookmarkEnd w:id="1"/>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天津市西青区赤龙中学</w:t>
      </w:r>
      <w:r>
        <w:rPr>
          <w:rFonts w:eastAsia="仿宋_GB2312" w:hint="eastAsia"/>
          <w:sz w:val="30"/>
          <w:szCs w:val="30"/>
          <w:highlight w:val="none"/>
          <w:lang w:val="en-US" w:eastAsia="zh-CN"/>
        </w:rPr>
        <w:t xml:space="preserve">的主要职责是</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实施初中教育，促进基础教育发展</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黑体" w:eastAsia="黑体" w:hAnsi="黑体" w:hint="eastAsia"/>
          <w:b w:val="0"/>
          <w:bCs w:val="0"/>
          <w:sz w:val="30"/>
          <w:szCs w:val="30"/>
          <w:highlight w:val="none"/>
        </w:rPr>
      </w:pPr>
      <w:bookmarkStart w:id="2" w:name="_Toc12571"/>
      <w:r>
        <w:rPr>
          <w:rFonts w:ascii="黑体" w:eastAsia="黑体" w:hAnsi="黑体" w:hint="eastAsia"/>
          <w:sz w:val="30"/>
          <w:szCs w:val="30"/>
          <w:lang w:val="en-US" w:eastAsia="zh-CN"/>
        </w:rPr>
        <w:t xml:space="preserve">二、机构设置</w:t>
      </w:r>
      <w:bookmarkEnd w:id="2"/>
    </w:p>
    <w:p>
      <w:pPr>
        <w:divId w:val="0"/>
        <w:spacing w:line="600" w:lineRule="exact"/>
        <w:ind w:firstLine="600"/>
        <w:rPr>
          <w:rFonts w:eastAsia="方正仿宋_GB2312" w:hint="eastAsia"/>
          <w:sz w:val="30"/>
          <w:szCs w:val="30"/>
          <w:highlight w:val="none"/>
          <w:lang w:val="en-US" w:eastAsia="zh-CN"/>
        </w:rPr>
      </w:pPr>
      <w:r>
        <w:rPr>
          <w:rFonts w:eastAsia="仿宋_GB2312" w:hint="eastAsia"/>
          <w:sz w:val="30"/>
          <w:szCs w:val="30"/>
          <w:highlight w:val="none"/>
          <w:lang w:val="en-US" w:eastAsia="zh-CN"/>
        </w:rPr>
        <w:t xml:space="preserve">纳</w:t>
      </w:r>
      <w:r>
        <w:rPr>
          <w:rFonts w:eastAsia="仿宋_GB2312" w:hint="eastAsia"/>
          <w:sz w:val="30"/>
          <w:szCs w:val="30"/>
          <w:highlight w:val="none"/>
          <w:lang w:val="en-US" w:eastAsia="zh-CN"/>
        </w:rPr>
        <w:t xml:space="preserve">入</w:t>
      </w:r>
      <w:r>
        <w:rPr>
          <w:rFonts w:eastAsia="仿宋_GB2312" w:hint="eastAsia"/>
          <w:sz w:val="30"/>
          <w:szCs w:val="30"/>
          <w:highlight w:val="none"/>
          <w:lang w:val="en-US" w:eastAsia="zh-CN"/>
        </w:rPr>
        <w:t xml:space="preserve">天津市西青区赤龙中学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年度单位决算编制范围的单位包括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单位本级（内设4个职能科室）。</w:t>
      </w:r>
    </w:p>
    <w:p>
      <w:pPr>
        <w:divId w:val="0"/>
        <w:spacing w:line="600" w:lineRule="exact"/>
        <w:rPr>
          <w:rFonts w:eastAsia="方正楷体_GB2312" w:hint="eastAsia"/>
          <w:b/>
          <w:sz w:val="30"/>
          <w:szCs w:val="30"/>
          <w:highlight w:val="none"/>
        </w:rPr>
      </w:pPr>
      <w:r>
        <w:rPr>
          <w:rFonts w:eastAsia="方正楷体_GB2312"/>
          <w:b/>
          <w:sz w:val="30"/>
          <w:szCs w:val="30"/>
          <w:highlight w:val="none"/>
        </w:rPr>
        <w:br w:type="page"/>
      </w: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bookmarkStart w:id="3" w:name="_Toc6935"/>
      <w:r>
        <w:rPr>
          <w:rFonts w:ascii="方正小标宋简体" w:eastAsia="方正小标宋简体" w:hAnsi="方正小标宋简体" w:cs="方正小标宋简体" w:hint="eastAsia"/>
          <w:b w:val="0"/>
          <w:bCs w:val="0"/>
          <w:lang w:val="en-US" w:eastAsia="zh-CN"/>
        </w:rPr>
        <w:t xml:space="preserve">第二部分  2025年度单位决算表</w:t>
      </w:r>
      <w:bookmarkEnd w:id="3"/>
    </w:p>
    <w:p>
      <w:pPr>
        <w:pStyle w:val="标题1"/>
        <w:wordWrap w:val="0"/>
        <w:spacing w:before="0" w:after="0" w:line="600" w:lineRule="exact"/>
        <w:jc w:val="left"/>
        <w:rPr>
          <w:rFonts w:ascii="黑体" w:eastAsia="黑体" w:hAnsi="黑体" w:hint="eastAsia"/>
          <w:sz w:val="30"/>
          <w:szCs w:val="30"/>
          <w:lang w:val="en-US" w:eastAsia="zh-CN"/>
        </w:rPr>
      </w:pPr>
      <w:r>
        <w:rPr>
          <w:rFonts w:ascii="方正小标宋简体" w:eastAsia="方正小标宋简体" w:hAnsi="方正小标宋简体" w:cs="方正小标宋简体" w:hint="eastAsia"/>
          <w:b w:val="0"/>
          <w:bCs w:val="0"/>
          <w:lang w:val="en-US" w:eastAsia="zh-CN"/>
        </w:rPr>
        <w:br w:type="page"/>
      </w:r>
      <w:bookmarkStart w:id="4" w:name="_Toc22430"/>
      <w:r>
        <w:rPr>
          <w:rFonts w:ascii="黑体" w:eastAsia="黑体" w:hAnsi="黑体" w:hint="eastAsia"/>
          <w:sz w:val="30"/>
          <w:szCs w:val="30"/>
          <w:lang w:val="en-US" w:eastAsia="zh-CN"/>
        </w:rPr>
        <w:t xml:space="preserve">一、《收入支出决算总表》</w:t>
      </w:r>
      <w:bookmarkEnd w:id="4"/>
    </w:p>
    <w:tbl>
      <w:tblPr>
        <w:tblStyle w:val="普通表格"/>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351"/>
        <w:gridCol w:w="1632"/>
        <w:gridCol w:w="3180"/>
        <w:gridCol w:w="1632"/>
      </w:tblGrid>
      <w:tr>
        <w:tblPrEx>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天津市西青区赤龙中学</w:t>
            </w:r>
          </w:p>
        </w:tc>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single" w:sz="4" w:space="0" w:color="000000"/>
              <w:left w:val="single" w:sz="4" w:space="0" w:color="000000"/>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w:t>
            </w:r>
          </w:p>
        </w:tc>
        <w:tc>
          <w:tcPr>
            <w:tcW w:w="1701" w:type="dxa"/>
            <w:gridSpan w:val="2"/>
            <w:tcBorders>
              <w:top w:val="single" w:sz="4" w:space="0" w:color="000000"/>
              <w:left w:val="nil"/>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一、一般公共预算财政拨款收入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tabs>
                <w:tab w:val="left" w:pos="1920"/>
              </w:tabs>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5502332.15</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二、政府性基金预算财政拨款收入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二、公共安全支出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三、国有资本经营预算财政拨款收入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三、教育支出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5732160.65</w:t>
            </w:r>
          </w:p>
        </w:tc>
      </w:tr>
      <w:tr>
        <w:tblPrEx>
          <w:tblW w:w="9795" w:type="dxa"/>
          <w:jc w:val="center"/>
          <w:tblLayout w:type="fixed"/>
          <w:tblCellMar>
            <w:top w:w="0" w:type="dxa"/>
            <w:left w:w="108" w:type="dxa"/>
            <w:bottom w:w="0" w:type="dxa"/>
            <w:right w:w="108" w:type="dxa"/>
          </w:tblCellMar>
          <w:tblLook w:val="0000"/>
        </w:tblPrEx>
        <w:trPr>
          <w:cantSplit/>
          <w:trHeight w:hRule="exact" w:val="368"/>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四、财政专户管理资金</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四、科学技术支出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五、事业收入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五、文化旅游体育与传媒支出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六、事业单位经营收入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六、社会保障和就业支出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七、上级补助收入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七、卫生健康支出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八、附属单位上缴收入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八、节能环保支出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九、其他收入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229828.50</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九、城乡社区支出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十、农林水支出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十一、交通运输支出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十二、资源勘探工业信息等支出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十三、商业服务业等支出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十四、金融支出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十五、援助其他地区支出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十六、自然资源海洋气象等支出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十七、住房保障支出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十八、粮油物资储备支出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十九、国有资本经营预算支出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二十一、其他支出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二十二、债务付息支出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二十三、抗疫特别国债安排的支出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本年收入合计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5732160.65</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5732160.65</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w w:val="90"/>
                <w:kern w:val="0.0"/>
                <w:sz w:val="20"/>
                <w:szCs w:val="20"/>
                <w:u w:val="none"/>
                <w:lang w:val="en-US" w:eastAsia="zh-CN"/>
              </w:rPr>
              <w:t xml:space="preserve">十、使用非财政拨款结余</w:t>
            </w:r>
            <w:r>
              <w:rPr>
                <w:rFonts w:ascii="宋体" w:hAnsi="宋体" w:cs="宋体" w:hint="eastAsia"/>
                <w:i w:val="0"/>
                <w:iCs w:val="0"/>
                <w:color w:val="000000"/>
                <w:w w:val="90"/>
                <w:kern w:val="0.0"/>
                <w:sz w:val="20"/>
                <w:szCs w:val="20"/>
                <w:u w:val="none"/>
                <w:lang w:val="en-US" w:eastAsia="zh-CN"/>
              </w:rPr>
              <w:t xml:space="preserve">（含专用结余）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二十四、结余分配</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十一、年初结转和结余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二十五、年末结转和结余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其中：财政拨款结转和结余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600" w:leftChars="0" w:rightChars="0" w:firstLineChars="30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其他结转和结余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5732160.65</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5732160.65</w:t>
            </w:r>
          </w:p>
        </w:tc>
      </w:tr>
      <w:tr>
        <w:tblPrEx>
          <w:tblW w:w="9795" w:type="dxa"/>
          <w:jc w:val="center"/>
          <w:tblLayout w:type="fixed"/>
          <w:tblCellMar>
            <w:top w:w="0" w:type="dxa"/>
            <w:left w:w="108" w:type="dxa"/>
            <w:bottom w:w="0" w:type="dxa"/>
            <w:right w:w="108" w:type="dxa"/>
          </w:tblCellMar>
          <w:tblLook w:val="0000"/>
        </w:tblPrEx>
        <w:trPr>
          <w:trHeight w:val="315"/>
          <w:jc w:val="center"/>
        </w:trPr>
        <w:tc>
          <w:tcPr>
            <w:tcW w:w="1701" w:type="dxa"/>
            <w:gridSpan w:val="4"/>
            <w:tcBorders>
              <w:top w:val="nil"/>
              <w:left w:val="nil"/>
              <w:bottom w:val="nil"/>
              <w:right w:val="nil"/>
            </w:tcBorders>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注：本表反映本年度的总收支和年末结转结余情况。财政专户管理资金是指教育收费；事业收入不含教育收费。</w:t>
            </w:r>
          </w:p>
        </w:tc>
      </w:tr>
    </w:tbl>
    <w:p>
      <w:pPr>
        <w:rPr>
          <w:rFonts w:hint="eastAsia"/>
          <w:lang w:val="en-US" w:eastAsia="zh-CN"/>
        </w:rPr>
        <w:sectPr>
          <w:footerReference w:type="default" r:id="rId5"/>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p>
    <w:p>
      <w:pPr>
        <w:pStyle w:val="标题2"/>
        <w:wordWrap w:val="0"/>
        <w:spacing w:before="0" w:after="0" w:line="800" w:lineRule="exact"/>
        <w:ind w:firstLine="600" w:firstLineChars="200"/>
        <w:rPr>
          <w:rFonts w:ascii="黑体" w:eastAsia="黑体" w:hAnsi="黑体" w:hint="eastAsia"/>
          <w:sz w:val="30"/>
          <w:szCs w:val="30"/>
          <w:lang w:val="en-US" w:eastAsia="zh-CN"/>
        </w:rPr>
      </w:pPr>
      <w:bookmarkStart w:id="5" w:name="_Toc2179"/>
      <w:r>
        <w:rPr>
          <w:rFonts w:ascii="黑体" w:eastAsia="黑体" w:hAnsi="黑体" w:hint="eastAsia"/>
          <w:sz w:val="30"/>
          <w:szCs w:val="30"/>
          <w:lang w:val="en-US" w:eastAsia="zh-CN"/>
        </w:rPr>
        <w:t xml:space="preserve">二、《收入决算表（按功能分类列示）》</w:t>
      </w:r>
      <w:bookmarkEnd w:id="5"/>
    </w:p>
    <w:tbl>
      <w:tblPr>
        <w:tblStyle w:val="普通表格"/>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1082"/>
        <w:gridCol w:w="2512"/>
        <w:gridCol w:w="1587"/>
        <w:gridCol w:w="1587"/>
        <w:gridCol w:w="1587"/>
        <w:gridCol w:w="1587"/>
        <w:gridCol w:w="1587"/>
        <w:gridCol w:w="1587"/>
        <w:gridCol w:w="1587"/>
        <w:gridCol w:w="1587"/>
      </w:tblGrid>
      <w:tr>
        <w:tblPrEx>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tblHeader/>
          <w:jc w:val="center"/>
        </w:trPr>
        <w:tc>
          <w:tcPr>
            <w:tcW w:w="9942" w:type="dxa"/>
            <w:gridSpan w:val="6"/>
            <w:tcBorders>
              <w:top w:val="nil"/>
              <w:left w:val="nil"/>
              <w:bottom w:val="single" w:sz="4" w:space="0" w:color="auto"/>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4"/>
                <w:szCs w:val="24"/>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天津市西青区赤龙中学</w:t>
            </w:r>
          </w:p>
        </w:tc>
        <w:tc>
          <w:tcPr>
            <w:tcW w:w="1587"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u w:val="none"/>
              </w:rPr>
            </w:pPr>
          </w:p>
        </w:tc>
        <w:tc>
          <w:tcPr>
            <w:tcW w:w="1587"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u w:val="none"/>
              </w:rPr>
            </w:pPr>
          </w:p>
        </w:tc>
        <w:tc>
          <w:tcPr>
            <w:tcW w:w="3174" w:type="dxa"/>
            <w:gridSpan w:val="2"/>
            <w:tcBorders>
              <w:top w:val="nil"/>
              <w:left w:val="nil"/>
              <w:bottom w:val="single" w:sz="4" w:space="0" w:color="auto"/>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594" w:type="dxa"/>
            <w:gridSpan w:val="2"/>
            <w:tcBorders>
              <w:top w:val="single" w:sz="4" w:space="0" w:color="auto"/>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本年收入合计</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财政拨款收入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上级补助收入</w:t>
            </w:r>
          </w:p>
        </w:tc>
        <w:tc>
          <w:tcPr>
            <w:tcW w:w="3174" w:type="dxa"/>
            <w:gridSpan w:val="2"/>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事业收入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经营收入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附属单位上缴收入</w:t>
            </w:r>
          </w:p>
        </w:tc>
        <w:tc>
          <w:tcPr>
            <w:tcW w:w="1587" w:type="dxa"/>
            <w:vMerge w:val="restart"/>
            <w:tcBorders>
              <w:top w:val="single" w:sz="4" w:space="0" w:color="auto"/>
              <w:left w:val="single" w:sz="4" w:space="0" w:color="000000"/>
              <w:bottom w:val="single" w:sz="4" w:space="0" w:color="000000"/>
              <w:right w:val="single" w:sz="4" w:space="0" w:color="auto"/>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其他收入</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82" w:type="dxa"/>
            <w:vMerge w:val="restart"/>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512"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158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其中：教育收费</w:t>
            </w: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82" w:type="dxa"/>
            <w:vMerge/>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512"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594" w:type="dxa"/>
            <w:gridSpan w:val="2"/>
            <w:tcBorders>
              <w:top w:val="single" w:sz="4" w:space="0" w:color="000000"/>
              <w:left w:val="single" w:sz="4" w:space="0" w:color="auto"/>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5732160.65</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5502332.15</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229828.50</w:t>
            </w: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教育支出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5732160.65</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5502332.15</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229828.50</w:t>
            </w: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普通教育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5732160.65</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5502332.15</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229828.50</w:t>
            </w: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2050203</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初中教育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5705896.46</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5476067.96</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229828.50</w:t>
            </w: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2050299</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其他普通教育支出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26264.19</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26264.19</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auto" w:val="0"/>
          <w:jc w:val="center"/>
        </w:trPr>
        <w:tc>
          <w:tcPr>
            <w:tcW w:w="16290" w:type="dxa"/>
            <w:gridSpan w:val="10"/>
            <w:tcBorders>
              <w:top w:val="single" w:sz="4" w:space="0" w:color="auto"/>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注：本表反映本年度取得的各项收入情况。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6" w:name="_Toc150"/>
      <w:r>
        <w:rPr>
          <w:rFonts w:ascii="黑体" w:eastAsia="黑体" w:hAnsi="黑体" w:hint="eastAsia"/>
          <w:b/>
          <w:bCs/>
          <w:sz w:val="30"/>
          <w:szCs w:val="30"/>
          <w:lang w:val="en-US" w:eastAsia="zh-CN"/>
        </w:rPr>
        <w:t xml:space="preserve">三、《收入决算表（按单位列示）》</w:t>
      </w:r>
      <w:bookmarkEnd w:id="6"/>
    </w:p>
    <w:tbl>
      <w:tblPr>
        <w:tblStyle w:val="普通表格"/>
        <w:tblW w:w="14072" w:type="dxa"/>
        <w:tblInd w:w="1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636"/>
        <w:gridCol w:w="1169"/>
        <w:gridCol w:w="1093"/>
        <w:gridCol w:w="1110"/>
        <w:gridCol w:w="1110"/>
        <w:gridCol w:w="1110"/>
        <w:gridCol w:w="1110"/>
        <w:gridCol w:w="1110"/>
        <w:gridCol w:w="1110"/>
        <w:gridCol w:w="1110"/>
        <w:gridCol w:w="1110"/>
        <w:gridCol w:w="1147"/>
        <w:gridCol w:w="1147"/>
      </w:tblGrid>
      <w:tr>
        <w:tblPrEx>
          <w:tblW w:w="14072" w:type="dxa"/>
          <w:tblInd w:w="1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300"/>
        </w:trPr>
        <w:tc>
          <w:tcPr>
            <w:tcW w:w="8378" w:type="dxa"/>
            <w:gridSpan w:val="8"/>
            <w:tcBorders>
              <w:top w:val="nil"/>
              <w:left w:val="nil"/>
              <w:bottom w:val="single" w:sz="8" w:space="0" w:color="000000"/>
              <w:right w:val="nil"/>
            </w:tcBorders>
            <w:noWrap w:val="1"/>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u w:val="none"/>
              </w:rPr>
            </w:pPr>
            <w:r>
              <w:rPr>
                <w:rFonts w:ascii="宋体" w:hAnsi="宋体" w:cs="宋体" w:hint="eastAsia"/>
                <w:i w:val="0"/>
                <w:iCs w:val="0"/>
                <w:color w:val="000000"/>
                <w:kern w:val="0.0"/>
                <w:sz w:val="16"/>
                <w:szCs w:val="16"/>
                <w:u w:val="none"/>
                <w:lang w:val="en-US" w:eastAsia="zh-CN"/>
              </w:rPr>
              <w:t xml:space="preserve">单位</w:t>
            </w:r>
            <w:r>
              <w:rPr>
                <w:rFonts w:ascii="宋体" w:eastAsia="宋体" w:hAnsi="宋体" w:cs="宋体" w:hint="eastAsia"/>
                <w:i w:val="0"/>
                <w:iCs w:val="0"/>
                <w:color w:val="000000"/>
                <w:kern w:val="0.0"/>
                <w:sz w:val="16"/>
                <w:szCs w:val="16"/>
                <w:u w:val="none"/>
                <w:lang w:val="en-US" w:eastAsia="zh-CN"/>
              </w:rPr>
              <w:t xml:space="preserve">：</w:t>
            </w:r>
            <w:r>
              <w:rPr>
                <w:rFonts w:ascii="宋体" w:eastAsia="宋体" w:hAnsi="宋体" w:cs="宋体" w:hint="eastAsia"/>
                <w:i w:val="0"/>
                <w:iCs w:val="0"/>
                <w:color w:val="000000"/>
                <w:kern w:val="0.0"/>
                <w:sz w:val="16"/>
                <w:szCs w:val="16"/>
                <w:u w:val="none"/>
                <w:lang w:val="en-US" w:eastAsia="zh-CN"/>
              </w:rPr>
              <w:t xml:space="preserve">天津市西青区赤龙中学</w:t>
            </w: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2322" w:type="dxa"/>
            <w:gridSpan w:val="2"/>
            <w:tcBorders>
              <w:top w:val="nil"/>
              <w:left w:val="nil"/>
              <w:bottom w:val="single" w:sz="8" w:space="0" w:color="000000"/>
              <w:right w:val="nil"/>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金额单位：元</w:t>
            </w:r>
          </w:p>
        </w:tc>
      </w:tr>
      <w:tr>
        <w:tblPrEx>
          <w:tblW w:w="14072" w:type="dxa"/>
          <w:tblInd w:w="102" w:type="dxa"/>
          <w:tblLayout w:type="fixed"/>
          <w:tblCellMar>
            <w:top w:w="0" w:type="dxa"/>
            <w:left w:w="108" w:type="dxa"/>
            <w:bottom w:w="0" w:type="dxa"/>
            <w:right w:w="108" w:type="dxa"/>
          </w:tblCellMar>
          <w:tblLook w:val="0000"/>
        </w:tblPrEx>
        <w:trPr>
          <w:trHeight w:val="300"/>
        </w:trPr>
        <w:tc>
          <w:tcPr>
            <w:tcW w:w="64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部门（单位）代码</w:t>
            </w:r>
          </w:p>
        </w:tc>
        <w:tc>
          <w:tcPr>
            <w:tcW w:w="1182"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部门（单位）名称</w:t>
            </w:r>
          </w:p>
        </w:tc>
        <w:tc>
          <w:tcPr>
            <w:tcW w:w="935"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1314" w:type="dxa"/>
            <w:gridSpan w:val="10"/>
            <w:tcBorders>
              <w:top w:val="single" w:sz="8" w:space="0" w:color="000000"/>
              <w:left w:val="single" w:sz="8" w:space="0" w:color="000000"/>
              <w:bottom w:val="single" w:sz="8" w:space="0" w:color="000000"/>
              <w:right w:val="single" w:sz="8" w:space="0" w:color="000000"/>
            </w:tcBorders>
            <w:noWrap w:val="1"/>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本年收入</w:t>
            </w:r>
          </w:p>
        </w:tc>
      </w:tr>
      <w:tr>
        <w:tblPrEx>
          <w:tblW w:w="14072" w:type="dxa"/>
          <w:tblInd w:w="102" w:type="dxa"/>
          <w:tblLayout w:type="fixed"/>
          <w:tblCellMar>
            <w:top w:w="0" w:type="dxa"/>
            <w:left w:w="108" w:type="dxa"/>
            <w:bottom w:w="0" w:type="dxa"/>
            <w:right w:w="108" w:type="dxa"/>
          </w:tblCellMar>
          <w:tblLook w:val="0000"/>
        </w:tblPrEx>
        <w:trPr>
          <w:trHeight w:val="300"/>
        </w:trPr>
        <w:tc>
          <w:tcPr>
            <w:tcW w:w="64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82"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935"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一般公共预算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政府性基金预算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国有资本经营预算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财政专户管理资金</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事业收入</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事业单位经营收入</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上级补助收入</w:t>
            </w:r>
          </w:p>
        </w:tc>
        <w:tc>
          <w:tcPr>
            <w:tcW w:w="116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附属单位上缴收入</w:t>
            </w:r>
          </w:p>
        </w:tc>
        <w:tc>
          <w:tcPr>
            <w:tcW w:w="116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其他收入</w:t>
            </w:r>
          </w:p>
        </w:tc>
      </w:tr>
      <w:tr>
        <w:tblPrEx>
          <w:tblW w:w="14072" w:type="dxa"/>
          <w:tblInd w:w="102" w:type="dxa"/>
          <w:tblLayout w:type="fixed"/>
          <w:tblCellMar>
            <w:top w:w="0" w:type="dxa"/>
            <w:left w:w="108" w:type="dxa"/>
            <w:bottom w:w="0" w:type="dxa"/>
            <w:right w:w="108" w:type="dxa"/>
          </w:tblCellMar>
          <w:tblLook w:val="0000"/>
        </w:tblPrEx>
        <w:trPr>
          <w:trHeight w:val="270"/>
        </w:trPr>
        <w:tc>
          <w:tcPr>
            <w:tcW w:w="64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82"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935"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6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6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r>
      <w:tr>
        <w:tblPrEx>
          <w:tblW w:w="14072" w:type="dxa"/>
          <w:tblInd w:w="102" w:type="dxa"/>
          <w:tblLayout w:type="fixed"/>
          <w:tblCellMar>
            <w:top w:w="0" w:type="dxa"/>
            <w:left w:w="108" w:type="dxa"/>
            <w:bottom w:w="0" w:type="dxa"/>
            <w:right w:w="108" w:type="dxa"/>
          </w:tblCellMar>
          <w:tblLook w:val="0000"/>
        </w:tblPrEx>
        <w:trPr>
          <w:trHeight w:val="782"/>
        </w:trPr>
        <w:tc>
          <w:tcPr>
            <w:tcW w:w="1823" w:type="dxa"/>
            <w:gridSpan w:val="2"/>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106"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5732160.65</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5732160.65</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5502332.15</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229828.50</w:t>
            </w:r>
          </w:p>
        </w:tc>
      </w:tr>
      <w:tr>
        <w:tblPrEx>
          <w:tblW w:w="14072" w:type="dxa"/>
          <w:tblInd w:w="102" w:type="dxa"/>
          <w:tblLayout w:type="fixed"/>
          <w:tblCellMar>
            <w:top w:w="0" w:type="dxa"/>
            <w:left w:w="108" w:type="dxa"/>
            <w:bottom w:w="0" w:type="dxa"/>
            <w:right w:w="108" w:type="dxa"/>
          </w:tblCellMar>
          <w:tblLook w:val="0000"/>
        </w:tblPrEx>
        <w:trPr>
          <w:trHeight w:val="283"/>
        </w:trPr>
        <w:tc>
          <w:tcPr>
            <w:tcW w:w="64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等线" w:eastAsia="等线" w:hAnsi="等线" w:cs="等线"/>
                <w:i w:val="0"/>
                <w:iCs w:val="0"/>
                <w:color w:val="333333"/>
                <w:sz w:val="13"/>
                <w:szCs w:val="13"/>
                <w:u w:val="none"/>
              </w:rPr>
            </w:pPr>
            <w:r>
              <w:rPr>
                <w:rFonts w:ascii="等线" w:eastAsia="等线" w:hAnsi="等线" w:cs="等线"/>
                <w:i w:val="0"/>
                <w:iCs w:val="0"/>
                <w:color w:val="333333"/>
                <w:sz w:val="13"/>
                <w:szCs w:val="13"/>
                <w:u w:val="none"/>
              </w:rPr>
              <w:t xml:space="preserve">330234</w:t>
            </w:r>
          </w:p>
        </w:tc>
        <w:tc>
          <w:tcPr>
            <w:tcW w:w="1182"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left"/>
              <w:textAlignment w:val="center"/>
              <w:rPr>
                <w:rFonts w:ascii="等线" w:eastAsia="等线" w:hAnsi="等线" w:cs="等线" w:hint="eastAsia"/>
                <w:i w:val="0"/>
                <w:iCs w:val="0"/>
                <w:color w:val="333333"/>
                <w:sz w:val="13"/>
                <w:szCs w:val="13"/>
                <w:u w:val="none"/>
              </w:rPr>
            </w:pPr>
            <w:r>
              <w:rPr>
                <w:rFonts w:ascii="等线" w:eastAsia="等线" w:hAnsi="等线" w:cs="等线" w:hint="eastAsia"/>
                <w:i w:val="0"/>
                <w:iCs w:val="0"/>
                <w:color w:val="333333"/>
                <w:sz w:val="13"/>
                <w:szCs w:val="13"/>
                <w:u w:val="none"/>
              </w:rPr>
              <w:t xml:space="preserve">天津市西青区赤龙中学</w:t>
            </w:r>
          </w:p>
        </w:tc>
        <w:tc>
          <w:tcPr>
            <w:tcW w:w="935"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5732160.65</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5732160.65</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5502332.15</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229828.50</w:t>
            </w:r>
          </w:p>
        </w:tc>
      </w:tr>
      <w:tr>
        <w:tblPrEx>
          <w:tblW w:w="14072" w:type="dxa"/>
          <w:tblInd w:w="102" w:type="dxa"/>
          <w:tblLayout w:type="fixed"/>
          <w:tblCellMar>
            <w:top w:w="0" w:type="dxa"/>
            <w:left w:w="108" w:type="dxa"/>
            <w:bottom w:w="0" w:type="dxa"/>
            <w:right w:w="108" w:type="dxa"/>
          </w:tblCellMar>
          <w:tblLook w:val="0000"/>
        </w:tblPrEx>
        <w:trPr>
          <w:trHeight w:val="270"/>
        </w:trPr>
        <w:tc>
          <w:tcPr>
            <w:tcW w:w="14072" w:type="dxa"/>
            <w:gridSpan w:val="13"/>
            <w:tcBorders>
              <w:top w:val="single" w:sz="8" w:space="0" w:color="000000"/>
              <w:left w:val="nil"/>
              <w:bottom w:val="nil"/>
              <w:right w:val="nil"/>
            </w:tcBorders>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注：本表反映本年度取得的各项收入情况。财政专户管理资金是指教育收费；事业收入不含教育收费。</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sz w:val="16"/>
          <w:szCs w:val="16"/>
          <w:u w:val="none"/>
          <w:lang w:val="en-US" w:eastAsia="zh-CN"/>
        </w:rPr>
      </w:pPr>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394"/>
        <w:gridCol w:w="421"/>
        <w:gridCol w:w="1669"/>
        <w:gridCol w:w="1670"/>
        <w:gridCol w:w="1670"/>
        <w:gridCol w:w="1670"/>
        <w:gridCol w:w="1670"/>
        <w:gridCol w:w="1670"/>
        <w:gridCol w:w="1670"/>
        <w:gridCol w:w="1670"/>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1134" w:type="dxa"/>
            <w:gridSpan w:val="6"/>
            <w:tcBorders>
              <w:top w:val="nil"/>
              <w:left w:val="nil"/>
              <w:bottom w:val="single" w:sz="8" w:space="0" w:color="000000"/>
              <w:right w:val="nil"/>
            </w:tcBorders>
            <w:noWrap w:val="1"/>
            <w:vAlign w:val="center"/>
          </w:tcPr>
          <w:p>
            <w:pPr>
              <w:divId w:val="0"/>
              <w:snapToGrid w:val="0"/>
              <w:rPr>
                <w:rFonts w:ascii="宋体" w:eastAsia="宋体" w:hAnsi="宋体" w:cs="宋体" w:hint="eastAsia"/>
                <w:i w:val="0"/>
                <w:iCs w:val="0"/>
                <w:color w:val="000000"/>
                <w:sz w:val="16"/>
                <w:szCs w:val="16"/>
                <w:u w:val="none"/>
              </w:rPr>
            </w:pPr>
            <w:r>
              <w:rPr>
                <w:rFonts w:ascii="宋体" w:hAnsi="宋体" w:cs="宋体" w:hint="eastAsia"/>
                <w:i w:val="0"/>
                <w:iCs w:val="0"/>
                <w:color w:val="000000"/>
                <w:kern w:val="0.0"/>
                <w:sz w:val="16"/>
                <w:szCs w:val="16"/>
                <w:u w:val="none"/>
                <w:lang w:val="en-US" w:eastAsia="zh-CN"/>
              </w:rPr>
              <w:t xml:space="preserve">单位</w:t>
            </w:r>
            <w:r>
              <w:rPr>
                <w:rFonts w:ascii="宋体" w:eastAsia="宋体" w:hAnsi="宋体" w:cs="宋体" w:hint="eastAsia"/>
                <w:i w:val="0"/>
                <w:iCs w:val="0"/>
                <w:color w:val="000000"/>
                <w:kern w:val="0.0"/>
                <w:sz w:val="16"/>
                <w:szCs w:val="16"/>
                <w:u w:val="none"/>
                <w:lang w:val="en-US" w:eastAsia="zh-CN"/>
              </w:rPr>
              <w:t xml:space="preserve">：</w:t>
            </w:r>
            <w:r>
              <w:rPr>
                <w:rFonts w:ascii="宋体" w:eastAsia="宋体" w:hAnsi="宋体" w:cs="宋体" w:hint="eastAsia"/>
                <w:i w:val="0"/>
                <w:iCs w:val="0"/>
                <w:color w:val="000000"/>
                <w:kern w:val="0.0"/>
                <w:sz w:val="16"/>
                <w:szCs w:val="16"/>
                <w:u w:val="none"/>
                <w:lang w:val="en-US" w:eastAsia="zh-CN"/>
              </w:rPr>
              <w:t xml:space="preserve">天津市西青区赤龙中学</w:t>
            </w:r>
          </w:p>
        </w:tc>
        <w:tc>
          <w:tcPr>
            <w:tcW w:w="3340" w:type="dxa"/>
            <w:gridSpan w:val="2"/>
            <w:tcBorders>
              <w:top w:val="nil"/>
              <w:left w:val="nil"/>
              <w:bottom w:val="single" w:sz="8"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u w:val="none"/>
                <w:lang w:val="en-US" w:eastAsia="zh-CN"/>
              </w:rPr>
            </w:pPr>
          </w:p>
        </w:tc>
        <w:tc>
          <w:tcPr>
            <w:tcW w:w="3340" w:type="dxa"/>
            <w:gridSpan w:val="2"/>
            <w:tcBorders>
              <w:top w:val="nil"/>
              <w:left w:val="nil"/>
              <w:bottom w:val="single" w:sz="8"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u w:val="none"/>
                <w:lang w:val="en-US" w:eastAsia="zh-CN"/>
              </w:rPr>
            </w:pPr>
            <w:r>
              <w:rPr>
                <w:rFonts w:ascii="宋体" w:eastAsia="宋体" w:hAnsi="宋体" w:cs="宋体" w:hint="eastAsia"/>
                <w:i w:val="0"/>
                <w:iCs w:val="0"/>
                <w:color w:val="000000"/>
                <w:kern w:val="0.0"/>
                <w:sz w:val="16"/>
                <w:szCs w:val="16"/>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部门（单位）代码</w:t>
            </w:r>
          </w:p>
        </w:tc>
        <w:tc>
          <w:tcPr>
            <w:tcW w:w="113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部门（单位）名称</w:t>
            </w:r>
          </w:p>
        </w:tc>
        <w:tc>
          <w:tcPr>
            <w:tcW w:w="13359" w:type="dxa"/>
            <w:gridSpan w:val="8"/>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上年结转和结余</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13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69"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6680" w:type="dxa"/>
            <w:gridSpan w:val="4"/>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财政拨款结转结余</w:t>
            </w:r>
          </w:p>
        </w:tc>
        <w:tc>
          <w:tcPr>
            <w:tcW w:w="5010" w:type="dxa"/>
            <w:gridSpan w:val="3"/>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非财政拨款结转结余</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13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69"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一般公共预算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政府性基金预算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国有资本经营预算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财政专户管理资金</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单位资金</w:t>
            </w:r>
          </w:p>
        </w:tc>
      </w:tr>
      <w:tr>
        <w:tblPrEx>
          <w:tblW w:w="5000" w:type="pct"/>
          <w:jc w:val="center"/>
          <w:tblCellMar>
            <w:top w:w="0" w:type="dxa"/>
            <w:left w:w="108" w:type="dxa"/>
            <w:bottom w:w="0" w:type="dxa"/>
            <w:right w:w="108" w:type="dxa"/>
          </w:tblCellMar>
          <w:tblLook w:val="0000"/>
        </w:tblPrEx>
        <w:trPr>
          <w:trHeight w:hRule="auto" w:val="0"/>
          <w:jc w:val="center"/>
        </w:trPr>
        <w:tc>
          <w:tcPr>
            <w:tcW w:w="1134" w:type="dxa"/>
            <w:gridSpan w:val="2"/>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737"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等线" w:eastAsia="等线" w:hAnsi="等线" w:cs="等线"/>
                <w:i w:val="0"/>
                <w:iCs w:val="0"/>
                <w:color w:val="333333"/>
                <w:sz w:val="13"/>
                <w:szCs w:val="13"/>
                <w:u w:val="none"/>
              </w:rPr>
            </w:pPr>
            <w:r>
              <w:rPr>
                <w:rFonts w:ascii="等线" w:eastAsia="等线" w:hAnsi="等线" w:cs="等线"/>
                <w:i w:val="0"/>
                <w:iCs w:val="0"/>
                <w:color w:val="333333"/>
                <w:sz w:val="13"/>
                <w:szCs w:val="13"/>
                <w:u w:val="none"/>
              </w:rPr>
              <w:t xml:space="preserve">330234</w:t>
            </w:r>
          </w:p>
        </w:tc>
        <w:tc>
          <w:tcPr>
            <w:tcW w:w="113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13"/>
                <w:szCs w:val="13"/>
                <w:u w:val="none"/>
              </w:rPr>
            </w:pPr>
            <w:r>
              <w:rPr>
                <w:rFonts w:ascii="等线" w:eastAsia="等线" w:hAnsi="等线" w:cs="等线" w:hint="eastAsia"/>
                <w:i w:val="0"/>
                <w:iCs w:val="0"/>
                <w:color w:val="333333"/>
                <w:sz w:val="13"/>
                <w:szCs w:val="13"/>
                <w:u w:val="none"/>
              </w:rPr>
              <w:t xml:space="preserve">天津市西青区赤龙中学</w:t>
            </w: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1134" w:type="dxa"/>
            <w:gridSpan w:val="10"/>
            <w:tcBorders>
              <w:top w:val="single" w:sz="8"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注：本表反映本年度取得的各项收入情况。财政专户管理资金是指教育收费；事业收入不含教育收费。</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sectPr>
          <w:footerReference w:type="default" r:id="rId6"/>
          <w:type w:val="nextPage"/>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extDirection w:val="lrTb"/>
          <w:docGrid w:type="lines" w:linePitch="312"/>
        </w:sectPr>
      </w:pPr>
    </w:p>
    <w:p>
      <w:pPr>
        <w:pStyle w:val="标题2"/>
        <w:wordWrap w:val="0"/>
        <w:spacing w:before="0" w:after="0" w:line="800" w:lineRule="exact"/>
        <w:ind w:firstLine="600" w:firstLineChars="200"/>
        <w:rPr>
          <w:rFonts w:ascii="黑体" w:eastAsia="黑体" w:hAnsi="黑体" w:hint="eastAsia"/>
          <w:sz w:val="30"/>
          <w:szCs w:val="30"/>
          <w:lang w:val="en-US" w:eastAsia="zh-CN"/>
        </w:rPr>
      </w:pPr>
      <w:bookmarkStart w:id="7" w:name="_Toc32133"/>
      <w:r>
        <w:rPr>
          <w:rFonts w:ascii="黑体" w:eastAsia="黑体" w:hAnsi="黑体" w:hint="eastAsia"/>
          <w:sz w:val="30"/>
          <w:szCs w:val="30"/>
          <w:lang w:val="en-US" w:eastAsia="zh-CN"/>
        </w:rPr>
        <w:t xml:space="preserve">四、《支出决算表》</w:t>
      </w:r>
      <w:bookmarkEnd w:id="7"/>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78"/>
        <w:gridCol w:w="875"/>
        <w:gridCol w:w="2136"/>
        <w:gridCol w:w="2137"/>
        <w:gridCol w:w="2137"/>
        <w:gridCol w:w="2137"/>
        <w:gridCol w:w="2137"/>
        <w:gridCol w:w="2137"/>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1701" w:type="dxa"/>
            <w:gridSpan w:val="4"/>
            <w:tcBorders>
              <w:top w:val="nil"/>
              <w:left w:val="nil"/>
              <w:bottom w:val="single" w:sz="4" w:space="0" w:color="000000"/>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2"/>
                <w:szCs w:val="22"/>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天津市西青区赤龙中学</w:t>
            </w:r>
          </w:p>
        </w:tc>
        <w:tc>
          <w:tcPr>
            <w:tcW w:w="1701" w:type="dxa"/>
            <w:tcBorders>
              <w:top w:val="nil"/>
              <w:left w:val="nil"/>
              <w:bottom w:val="single" w:sz="4" w:space="0" w:color="000000"/>
              <w:right w:val="nil"/>
            </w:tcBorders>
            <w:shd w:val="clear" w:color="auto" w:fill="FFFFFF"/>
            <w:noWrap w:val="1"/>
            <w:vAlign w:val="center"/>
          </w:tcPr>
          <w:p>
            <w:pPr>
              <w:divId w:val="0"/>
              <w:snapToGrid w:val="0"/>
              <w:jc w:val="center"/>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hRule="exact" w:val="397"/>
          <w:jc w:val="center"/>
        </w:trPr>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本年支出合计</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上缴上级支出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经营支出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对附属单位补助支出</w:t>
            </w:r>
          </w:p>
        </w:tc>
      </w:tr>
      <w:tr>
        <w:tblPrEx>
          <w:tblW w:w="5000" w:type="pct"/>
          <w:jc w:val="center"/>
          <w:tblCellMar>
            <w:top w:w="0" w:type="dxa"/>
            <w:left w:w="108" w:type="dxa"/>
            <w:bottom w:w="0" w:type="dxa"/>
            <w:right w:w="108" w:type="dxa"/>
          </w:tblCellMar>
          <w:tblLook w:val="0000"/>
        </w:tblPrEx>
        <w:trPr>
          <w:trHeight w:hRule="exact" w:val="397"/>
          <w:jc w:val="center"/>
        </w:trPr>
        <w:tc>
          <w:tcPr>
            <w:tcW w:w="39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835"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12"/>
          <w:jc w:val="center"/>
        </w:trPr>
        <w:tc>
          <w:tcPr>
            <w:tcW w:w="39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835"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exact" w:val="397"/>
          <w:jc w:val="center"/>
        </w:trPr>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r>
              <w:rPr>
                <w:rFonts w:ascii="宋体" w:eastAsia="宋体" w:hAnsi="宋体" w:cs="宋体" w:hint="eastAsia"/>
                <w:kern w:val="0.0"/>
                <w:sz w:val="20"/>
                <w:szCs w:val="20"/>
                <w:lang w:val="en-US" w:eastAsia="zh-CN"/>
              </w:rPr>
              <w:t xml:space="preserve">5732160.65</w:t>
            </w: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r>
              <w:rPr>
                <w:rFonts w:ascii="宋体" w:eastAsia="宋体" w:hAnsi="宋体" w:cs="宋体" w:hint="eastAsia"/>
                <w:kern w:val="0.0"/>
                <w:sz w:val="20"/>
                <w:szCs w:val="20"/>
                <w:lang w:val="en-US" w:eastAsia="zh-CN"/>
              </w:rPr>
              <w:t xml:space="preserve">3896894.36</w:t>
            </w: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r>
              <w:rPr>
                <w:rFonts w:ascii="宋体" w:eastAsia="宋体" w:hAnsi="宋体" w:cs="宋体" w:hint="eastAsia"/>
                <w:kern w:val="0.0"/>
                <w:sz w:val="20"/>
                <w:szCs w:val="20"/>
                <w:lang w:val="en-US" w:eastAsia="zh-CN"/>
              </w:rPr>
              <w:t xml:space="preserve">1835266.29</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5732160.65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3896894.36</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1835266.29</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5732160.65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3896894.36</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1835266.29</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2050203</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初中教育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5705896.46</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3896894.36</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1809002.10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2050299</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其他普通教育支出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26264.19</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26264.19</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1701" w:type="dxa"/>
            <w:gridSpan w:val="8"/>
            <w:tcBorders>
              <w:top w:val="single" w:sz="4"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注：本表反映本年度各项支出情况。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8" w:name="_Toc1775"/>
      <w:r>
        <w:rPr>
          <w:rFonts w:ascii="黑体" w:eastAsia="黑体" w:hAnsi="黑体" w:hint="eastAsia"/>
          <w:sz w:val="30"/>
          <w:szCs w:val="30"/>
          <w:lang w:val="en-US" w:eastAsia="zh-CN"/>
        </w:rPr>
        <w:t xml:space="preserve">五、《财政拨款收入支出决算总表》</w:t>
      </w:r>
      <w:bookmarkEnd w:id="8"/>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023"/>
        <w:gridCol w:w="1653"/>
        <w:gridCol w:w="2890"/>
        <w:gridCol w:w="1652"/>
        <w:gridCol w:w="1652"/>
        <w:gridCol w:w="1652"/>
        <w:gridCol w:w="165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3118" w:type="dxa"/>
            <w:gridSpan w:val="3"/>
            <w:tcBorders>
              <w:top w:val="nil"/>
              <w:left w:val="nil"/>
              <w:bottom w:val="nil"/>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天津市西青区赤龙中学</w:t>
            </w:r>
          </w:p>
        </w:tc>
        <w:tc>
          <w:tcPr>
            <w:tcW w:w="1701"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3118"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w:t>
            </w:r>
          </w:p>
        </w:tc>
        <w:tc>
          <w:tcPr>
            <w:tcW w:w="1701" w:type="dxa"/>
            <w:gridSpan w:val="5"/>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w:t>
            </w: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国有资本经营预算财政拨款</w:t>
            </w: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5502332.15</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二、公共安全支出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三、国有资本经营预算财政拨款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5502332.15</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5502332.15</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四、科学技术支出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五、文化旅游体育与传媒支出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六、社会保障和就业支出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七、卫生健康支出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八、节能环保支出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九、城乡社区支出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十、农林水支出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十一、交通运输支出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十二、资源勘探工业信息等支出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十三、商业服务业等支出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十四、金融支出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十五、援助其他地区支出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十六、自然资源海洋气象等支出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十七、住房保障支出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十八、粮油物资储备支出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十九、国有资本经营预算支出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二十一、其他支出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二十二、债务付息支出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二十三、抗疫特别国债安排的支出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本年收入合计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5502332.15</w:t>
            </w: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本年支出合计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5502332.15</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333333"/>
                <w:kern w:val="0.0"/>
                <w:sz w:val="20"/>
                <w:szCs w:val="20"/>
                <w:u w:val="none"/>
                <w:lang w:val="en-US" w:eastAsia="zh-CN"/>
              </w:rPr>
              <w:t xml:space="preserve">5502332.15</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spacing w:line="240" w:lineRule="auto"/>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ind w:left="0" w:firstLine="0" w:lef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国有资本经营预算财政拨款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总计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5502332.15</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总计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5502332.15</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333333"/>
                <w:kern w:val="0.0"/>
                <w:sz w:val="20"/>
                <w:szCs w:val="20"/>
                <w:u w:val="none"/>
                <w:lang w:val="en-US" w:eastAsia="zh-CN"/>
              </w:rPr>
              <w:t xml:space="preserve">5502332.15</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3118" w:type="dxa"/>
            <w:gridSpan w:val="7"/>
            <w:tcBorders>
              <w:top w:val="single" w:sz="4" w:space="0" w:color="000000"/>
              <w:left w:val="nil"/>
              <w:bottom w:val="nil"/>
              <w:right w:val="nil"/>
            </w:tcBorders>
            <w:shd w:val="clear" w:color="auto" w:fill="FFFFFF"/>
            <w:noWrap w:val="1"/>
            <w:vAlign w:val="center"/>
          </w:tcPr>
          <w:p>
            <w:pPr>
              <w:pStyle w:val="普通(网站)"/>
              <w:keepNext w:val="0"/>
              <w:keepLines w:val="0"/>
              <w:widowControl/>
              <w:suppressLineNumbers w:val="0"/>
              <w:snapToGrid w:val="0"/>
              <w:spacing w:before="60" w:beforeAutospacing="0" w:after="60" w:afterAutospacing="0"/>
              <w:ind w:left="0" w:right="0" w:leftChars="0" w:rightChars="0"/>
              <w:jc w:val="left"/>
              <w:rPr>
                <w:rFonts w:ascii="等线" w:eastAsia="等线" w:hAnsi="等线" w:cs="等线"/>
                <w:b w:val="0"/>
                <w:bCs w:val="0"/>
                <w:i w:val="0"/>
                <w:iCs w:val="0"/>
                <w:color w:val="333333"/>
                <w:spacing w:val="0"/>
                <w:w w:val="100"/>
                <w:sz w:val="20"/>
                <w:szCs w:val="20"/>
                <w:vertAlign w:val="baseline"/>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注：本表反映本年度一般公共预算财政拨款、政府性基金预算财政拨款和国有资本经营预算财政拨款的总收支和年末结转结余情况。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9" w:name="_Toc6908"/>
      <w:r>
        <w:rPr>
          <w:rFonts w:ascii="黑体" w:eastAsia="黑体" w:hAnsi="黑体" w:hint="eastAsia"/>
          <w:sz w:val="30"/>
          <w:szCs w:val="30"/>
          <w:lang w:val="en-US" w:eastAsia="zh-CN"/>
        </w:rPr>
        <w:t xml:space="preserve">六、《一般公共预算财政拨款支出决算表》</w:t>
      </w:r>
      <w:bookmarkEnd w:id="9"/>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65"/>
        <w:gridCol w:w="964"/>
        <w:gridCol w:w="2549"/>
        <w:gridCol w:w="2549"/>
        <w:gridCol w:w="2549"/>
        <w:gridCol w:w="2549"/>
        <w:gridCol w:w="2549"/>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2268" w:type="dxa"/>
            <w:gridSpan w:val="6"/>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Style w:val="font41"/>
                <w:lang w:val="en-US" w:eastAsia="zh-CN"/>
              </w:rPr>
              <w:t xml:space="preserve">天津市西青区赤龙中学</w:t>
            </w:r>
          </w:p>
        </w:tc>
        <w:tc>
          <w:tcPr>
            <w:tcW w:w="1701"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合计</w:t>
            </w:r>
          </w:p>
        </w:tc>
        <w:tc>
          <w:tcPr>
            <w:tcW w:w="1701" w:type="dxa"/>
            <w:gridSpan w:val="3"/>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基本支</w:t>
            </w:r>
            <w:r>
              <w:rPr>
                <w:rFonts w:ascii="宋体" w:eastAsia="宋体" w:hAnsi="宋体" w:cs="宋体" w:hint="eastAsia"/>
                <w:i w:val="0"/>
                <w:iCs w:val="0"/>
                <w:color w:val="262626"/>
                <w:kern w:val="0.0"/>
                <w:sz w:val="22"/>
                <w:szCs w:val="22"/>
                <w:u w:val="none"/>
                <w:lang w:val="en-US" w:eastAsia="zh-CN"/>
              </w:rPr>
              <w:t xml:space="preserve">出</w:t>
            </w:r>
            <w:r>
              <w:rPr>
                <w:rFonts w:ascii="宋体" w:eastAsia="宋体" w:hAnsi="宋体" w:cs="宋体" w:hint="eastAsia"/>
                <w:i w:val="0"/>
                <w:iCs w:val="0"/>
                <w:color w:val="262626"/>
                <w:kern w:val="0.0"/>
                <w:sz w:val="22"/>
                <w:szCs w:val="22"/>
                <w:u w:val="none"/>
                <w:lang w:val="en-US" w:eastAsia="zh-CN"/>
              </w:rPr>
              <w:t xml:space="preserve">  </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项目支出</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科目编码</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小计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人员经费</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公用经费</w:t>
            </w:r>
          </w:p>
        </w:tc>
        <w:tc>
          <w:tcPr>
            <w:tcW w:w="1701"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u w:val="none"/>
              </w:rPr>
            </w:pP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5502332.15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3667065.86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3498865.86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168200.00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1835266.29</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5502332.15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3667065.86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3498865.86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168200.00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1835266.29</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5502332.15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3667065.86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3498865.86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168200.00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1835266.29</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初中教育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5476067.96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3667065.86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3498865.86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168200.00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1809002.10</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2050299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其他普通教育支出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26264.19</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26264.19</w:t>
            </w:r>
          </w:p>
        </w:tc>
      </w:tr>
      <w:tr>
        <w:tblPrEx>
          <w:tblW w:w="5000" w:type="pct"/>
          <w:jc w:val="center"/>
          <w:tblCellMar>
            <w:top w:w="0" w:type="dxa"/>
            <w:left w:w="108" w:type="dxa"/>
            <w:bottom w:w="0" w:type="dxa"/>
            <w:right w:w="108" w:type="dxa"/>
          </w:tblCellMar>
          <w:tblLook w:val="0000"/>
        </w:tblPrEx>
        <w:trPr>
          <w:trHeight w:hRule="auto" w:val="0"/>
          <w:jc w:val="center"/>
        </w:trPr>
        <w:tc>
          <w:tcPr>
            <w:tcW w:w="2268" w:type="dxa"/>
            <w:gridSpan w:val="7"/>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0" w:name="_Toc31529"/>
      <w:r>
        <w:rPr>
          <w:rFonts w:ascii="黑体" w:eastAsia="黑体" w:hAnsi="黑体" w:hint="eastAsia"/>
          <w:sz w:val="30"/>
          <w:szCs w:val="30"/>
          <w:lang w:val="en-US" w:eastAsia="zh-CN"/>
        </w:rPr>
        <w:t xml:space="preserve">七、《一般公共预算财政拨款基本支出决算表》</w:t>
      </w:r>
      <w:bookmarkEnd w:id="10"/>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840"/>
        <w:gridCol w:w="1942"/>
        <w:gridCol w:w="1942"/>
        <w:gridCol w:w="841"/>
        <w:gridCol w:w="1942"/>
        <w:gridCol w:w="1942"/>
        <w:gridCol w:w="841"/>
        <w:gridCol w:w="1942"/>
        <w:gridCol w:w="194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1701" w:type="dxa"/>
            <w:gridSpan w:val="5"/>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天津市西青区赤龙中学</w:t>
            </w: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737"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1701" w:type="dxa"/>
            <w:gridSpan w:val="3"/>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人员经费</w:t>
            </w:r>
          </w:p>
        </w:tc>
        <w:tc>
          <w:tcPr>
            <w:tcW w:w="1701"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公用经费</w:t>
            </w:r>
          </w:p>
        </w:tc>
      </w:tr>
      <w:tr>
        <w:tblPrEx>
          <w:tblW w:w="14174" w:type="dxa"/>
          <w:jc w:val="center"/>
          <w:tblLayout w:type="fixed"/>
          <w:tblCellMar>
            <w:top w:w="0" w:type="dxa"/>
            <w:left w:w="108" w:type="dxa"/>
            <w:bottom w:w="0" w:type="dxa"/>
            <w:right w:w="108" w:type="dxa"/>
          </w:tblCellMar>
          <w:tblLook w:val="0000"/>
        </w:tblPrEx>
        <w:trPr>
          <w:trHeight w:hRule="exact" w:val="850"/>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工资福利支出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3493325.86</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商品和服务支出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168200.00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国外债务发行费用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基本工资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776162.60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办公费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资本性支出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津贴补贴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336886.00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印刷费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房屋建筑物购建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奖金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86400.00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手续费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办公设备购置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伙食补助费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专用设备购置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绩效工资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954015.98</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电费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基础设施建设</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机关事业单位基本养老保险缴费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251759.52</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邮电费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大型修缮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职业年金缴费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125989.50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取暖费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信息网络及软件购置更新</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职工基本医疗保险缴费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166093.53</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物业管理费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168200.00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物资储备</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公务员医疗补助缴费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差旅费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土地补偿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其他社会保障缴费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14155.73</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因公出国（境）费用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安置补助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住房公积金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770453.00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维</w:t>
            </w:r>
            <w:r>
              <w:rPr>
                <w:rFonts w:ascii="宋体" w:eastAsia="宋体" w:hAnsi="宋体" w:cs="宋体" w:hint="eastAsia"/>
                <w:i w:val="0"/>
                <w:iCs w:val="0"/>
                <w:color w:val="000000"/>
                <w:kern w:val="0.0"/>
                <w:sz w:val="20"/>
                <w:szCs w:val="20"/>
                <w:u w:val="none"/>
                <w:lang w:val="en-US" w:eastAsia="zh-CN"/>
              </w:rPr>
              <w:t xml:space="preserve">修</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护</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地上附着物和青苗补偿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医疗费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11410.00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租赁费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拆迁补偿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其他工资福利支出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会议费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公务用车购置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对个人和家庭的补助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5540.00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培训费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其他交通工具购置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离休费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公务接待费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31021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文物和陈列品购置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退休费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专用材料费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31022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无形资产购置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退职（役）费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被装购置费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其他资本性支出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抚恤金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专用燃料费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对企业补助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生活补助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劳务费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资本金注入</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救济费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委托业务费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政府投资基金股权投资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医疗费补助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工会经费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费用补贴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助学金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福利费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利息补贴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奖励金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60.00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30231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公务用车运行维护费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其他资本性补助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个人农业生产补贴</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30239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其他交通费用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其他对企业补助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代缴社会保险费</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30240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税金及附加费用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其他支出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其他对个人和家庭的补助</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5480.00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其他商品和服务支出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国家赔偿费用支出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307</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债务利息及费用支出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39908</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对民间非营利组织和群众性自治组织补贴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30701</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国内债务付息</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39909</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经常性赠与</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30702</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国外债务付息</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39910</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资本性赠与</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国内债务发行费用</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39999</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其他支出</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1701" w:type="dxa"/>
            <w:gridSpan w:val="2"/>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人员经费合计</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3498865.86</w:t>
            </w:r>
          </w:p>
        </w:tc>
        <w:tc>
          <w:tcPr>
            <w:tcW w:w="1701" w:type="dxa"/>
            <w:gridSpan w:val="5"/>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公用经费合计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168200.00</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1701" w:type="dxa"/>
            <w:gridSpan w:val="9"/>
            <w:tcBorders>
              <w:top w:val="single" w:sz="4" w:space="0" w:color="000000"/>
              <w:left w:val="nil"/>
              <w:bottom w:val="nil"/>
              <w:right w:val="nil"/>
            </w:tcBorders>
            <w:noWrap w:val="1"/>
            <w:vAlign w:val="center"/>
          </w:tcPr>
          <w:p>
            <w:pPr>
              <w:pStyle w:val="普通(网站)"/>
              <w:keepNext w:val="0"/>
              <w:keepLines w:val="0"/>
              <w:widowControl/>
              <w:suppressLineNumbers w:val="0"/>
              <w:snapToGrid w:val="0"/>
              <w:spacing w:before="60" w:beforeAutospacing="0" w:after="60" w:afterAutospacing="0"/>
              <w:ind w:left="0" w:right="0" w:leftChars="0" w:rightChars="0"/>
              <w:jc w:val="left"/>
              <w:rPr>
                <w:rFonts w:ascii="宋体" w:eastAsia="宋体" w:hAnsi="宋体" w:cs="宋体" w:hint="eastAsia"/>
                <w:b/>
                <w:bCs/>
                <w:i w:val="0"/>
                <w:iCs w:val="0"/>
                <w:color w:val="000000"/>
                <w:kern w:val="0.0"/>
                <w:sz w:val="20"/>
                <w:szCs w:val="20"/>
                <w:u w:val="none"/>
                <w:lang w:val="en-US" w:eastAsia="zh-CN"/>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1" w:name="_Toc15896"/>
      <w:r>
        <w:rPr>
          <w:rFonts w:ascii="黑体" w:eastAsia="黑体" w:hAnsi="黑体" w:hint="eastAsia"/>
          <w:b/>
          <w:bCs/>
          <w:sz w:val="30"/>
          <w:szCs w:val="30"/>
          <w:lang w:val="en-US" w:eastAsia="zh-CN"/>
        </w:rPr>
        <w:t xml:space="preserve">八、《政府性基金预算财政拨款收入支出决算表》</w:t>
      </w:r>
      <w:bookmarkEnd w:id="11"/>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960"/>
        <w:gridCol w:w="2402"/>
        <w:gridCol w:w="1802"/>
        <w:gridCol w:w="1802"/>
        <w:gridCol w:w="1802"/>
        <w:gridCol w:w="1802"/>
        <w:gridCol w:w="1802"/>
        <w:gridCol w:w="180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567"/>
          <w:tblHeader/>
          <w:jc w:val="center"/>
        </w:trPr>
        <w:tc>
          <w:tcPr>
            <w:tcW w:w="2268" w:type="dxa"/>
            <w:gridSpan w:val="5"/>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天津市西青区赤龙中学</w:t>
            </w:r>
          </w:p>
        </w:tc>
        <w:tc>
          <w:tcPr>
            <w:tcW w:w="170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年初结转和结余</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w:t>
            </w:r>
          </w:p>
        </w:tc>
        <w:tc>
          <w:tcPr>
            <w:tcW w:w="1701"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年末结转和结余</w:t>
            </w: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268"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w:t>
            </w:r>
            <w:r>
              <w:rPr>
                <w:rFonts w:ascii="宋体" w:eastAsia="宋体" w:hAnsi="宋体" w:cs="宋体" w:hint="eastAsia"/>
                <w:i w:val="0"/>
                <w:iCs w:val="0"/>
                <w:color w:val="000000"/>
                <w:kern w:val="0.0"/>
                <w:sz w:val="20"/>
                <w:szCs w:val="20"/>
                <w:u w:val="none"/>
                <w:lang w:val="en-US" w:eastAsia="zh-CN"/>
              </w:rPr>
              <w:t xml:space="preserve">出</w:t>
            </w:r>
            <w:r>
              <w:rPr>
                <w:rFonts w:ascii="宋体" w:eastAsia="宋体" w:hAnsi="宋体" w:cs="宋体" w:hint="eastAsia"/>
                <w:i w:val="0"/>
                <w:iCs w:val="0"/>
                <w:color w:val="000000"/>
                <w:kern w:val="0.0"/>
                <w:sz w:val="20"/>
                <w:szCs w:val="20"/>
                <w:u w:val="none"/>
                <w:lang w:val="en-US" w:eastAsia="zh-CN"/>
              </w:rPr>
              <w:t xml:space="preserve">  </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2268"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注：本表反映本年度政府性基金预算财政拨款收入、支出及结转和结余情况。</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天津市西青区赤龙中学2025年度政府性基金预算财政拨款收入支出决算表为空表。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2" w:name="_Toc24983"/>
      <w:r>
        <w:rPr>
          <w:rFonts w:ascii="黑体" w:eastAsia="黑体" w:hAnsi="黑体" w:hint="eastAsia"/>
          <w:b/>
          <w:bCs/>
          <w:sz w:val="30"/>
          <w:szCs w:val="30"/>
          <w:lang w:val="en-US" w:eastAsia="zh-CN"/>
        </w:rPr>
        <w:t xml:space="preserve">九、《国有资本经营预算财政拨款收入支出决算表》</w:t>
      </w:r>
      <w:bookmarkEnd w:id="12"/>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12"/>
        <w:gridCol w:w="812"/>
        <w:gridCol w:w="2158"/>
        <w:gridCol w:w="2158"/>
        <w:gridCol w:w="2158"/>
        <w:gridCol w:w="2158"/>
        <w:gridCol w:w="2159"/>
        <w:gridCol w:w="2159"/>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tblHeader/>
          <w:jc w:val="center"/>
        </w:trPr>
        <w:tc>
          <w:tcPr>
            <w:tcW w:w="1134" w:type="dxa"/>
            <w:gridSpan w:val="4"/>
            <w:tcBorders>
              <w:top w:val="nil"/>
              <w:left w:val="nil"/>
              <w:bottom w:val="nil"/>
              <w:right w:val="nil"/>
            </w:tcBorders>
            <w:noWrap w:val="1"/>
            <w:vAlign w:val="center"/>
          </w:tcPr>
          <w:p>
            <w:pPr>
              <w:divId w:val="0"/>
              <w:snapToGrid w:val="0"/>
              <w:jc w:val="left"/>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天津市西青区赤龙中学</w:t>
            </w: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Style w:val="font11"/>
                <w:sz w:val="20"/>
                <w:szCs w:val="20"/>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年初结转和结余</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w:t>
            </w:r>
          </w:p>
        </w:tc>
        <w:tc>
          <w:tcPr>
            <w:tcW w:w="1134"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年末结转和结余</w:t>
            </w: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55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w:t>
            </w:r>
            <w:r>
              <w:rPr>
                <w:rFonts w:ascii="宋体" w:eastAsia="宋体" w:hAnsi="宋体" w:cs="宋体" w:hint="eastAsia"/>
                <w:i w:val="0"/>
                <w:iCs w:val="0"/>
                <w:color w:val="000000"/>
                <w:kern w:val="0.0"/>
                <w:sz w:val="20"/>
                <w:szCs w:val="20"/>
                <w:u w:val="none"/>
                <w:lang w:val="en-US" w:eastAsia="zh-CN"/>
              </w:rPr>
              <w:t xml:space="preserve">出</w:t>
            </w:r>
            <w:r>
              <w:rPr>
                <w:rFonts w:ascii="宋体" w:eastAsia="宋体" w:hAnsi="宋体" w:cs="宋体" w:hint="eastAsia"/>
                <w:i w:val="0"/>
                <w:iCs w:val="0"/>
                <w:color w:val="000000"/>
                <w:kern w:val="0.0"/>
                <w:sz w:val="20"/>
                <w:szCs w:val="20"/>
                <w:u w:val="none"/>
                <w:lang w:val="en-US" w:eastAsia="zh-CN"/>
              </w:rPr>
              <w:t xml:space="preserve">  </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55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55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55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jc w:val="center"/>
        </w:trPr>
        <w:tc>
          <w:tcPr>
            <w:tcW w:w="1134"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注：本表反映本年度国有资本经营预算财政拨款收入、支出及结转和结余情况。</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天津市西青区赤龙中学2025年度国有资本经营预算财政拨款收入支出决算表为空表。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3" w:name="_Toc11809"/>
      <w:r>
        <w:rPr>
          <w:rFonts w:ascii="黑体" w:eastAsia="黑体" w:hAnsi="黑体" w:hint="eastAsia"/>
          <w:b/>
          <w:bCs/>
          <w:sz w:val="30"/>
          <w:szCs w:val="30"/>
          <w:lang w:val="en-US" w:eastAsia="zh-CN"/>
        </w:rPr>
        <w:t xml:space="preserve">十、《财政拨款“三公”经费支出决算表》</w:t>
      </w:r>
      <w:bookmarkEnd w:id="13"/>
    </w:p>
    <w:tbl>
      <w:tblPr>
        <w:tblStyle w:val="普通表格"/>
        <w:tblW w:w="141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2362"/>
        <w:gridCol w:w="2362"/>
        <w:gridCol w:w="2362"/>
        <w:gridCol w:w="2362"/>
        <w:gridCol w:w="2363"/>
        <w:gridCol w:w="2363"/>
      </w:tblGrid>
      <w:tr>
        <w:tblPrEx>
          <w:tblW w:w="141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2301" w:type="auto"/>
            <w:gridSpan w:val="4"/>
            <w:tcBorders>
              <w:bottom w:val="single" w:sz="4" w:space="0" w:color="auto"/>
              <w:tl2br w:val="nil"/>
              <w:tr2bl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天津市西青区赤龙中学</w:t>
            </w:r>
          </w:p>
        </w:tc>
        <w:tc>
          <w:tcPr>
            <w:tcW w:w="2299" w:type="dxa"/>
            <w:tcBorders>
              <w:bottom w:val="single" w:sz="4" w:space="0" w:color="auto"/>
              <w:tl2br w:val="nil"/>
              <w:tr2bl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2299" w:type="dxa"/>
            <w:tcBorders>
              <w:bottom w:val="single" w:sz="4" w:space="0" w:color="auto"/>
              <w:tl2br w:val="nil"/>
              <w:tr2bl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68" w:type="dxa"/>
          <w:jc w:val="center"/>
          <w:tblCellMar>
            <w:top w:w="0" w:type="dxa"/>
            <w:left w:w="108" w:type="dxa"/>
            <w:bottom w:w="0" w:type="dxa"/>
            <w:right w:w="108" w:type="dxa"/>
          </w:tblCellMar>
          <w:tblLook w:val="0000"/>
        </w:tblPrEx>
        <w:trPr>
          <w:trHeight w:hRule="auto" w:val="0"/>
          <w:jc w:val="center"/>
        </w:trPr>
        <w:tc>
          <w:tcPr>
            <w:tcW w:w="2298" w:type="auto"/>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2672" w:type="auto"/>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因公出国（境）费</w:t>
            </w:r>
          </w:p>
        </w:tc>
        <w:tc>
          <w:tcPr>
            <w:tcW w:w="2301" w:type="auto"/>
            <w:gridSpan w:val="3"/>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公务用车购置及运行维护费</w:t>
            </w:r>
          </w:p>
        </w:tc>
        <w:tc>
          <w:tcPr>
            <w:tcW w:w="2299" w:type="dxa"/>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公务接待费</w:t>
            </w:r>
          </w:p>
        </w:tc>
      </w:tr>
      <w:tr>
        <w:tblPrEx>
          <w:tblW w:w="14168" w:type="dxa"/>
          <w:jc w:val="center"/>
          <w:tblCellMar>
            <w:top w:w="0" w:type="dxa"/>
            <w:left w:w="108" w:type="dxa"/>
            <w:bottom w:w="0" w:type="dxa"/>
            <w:right w:w="108" w:type="dxa"/>
          </w:tblCellMar>
          <w:tblLook w:val="0000"/>
        </w:tblPrEx>
        <w:trPr>
          <w:trHeight w:hRule="auto" w:val="0"/>
          <w:jc w:val="center"/>
        </w:trPr>
        <w:tc>
          <w:tcPr>
            <w:tcW w:w="2298" w:type="auto"/>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c>
          <w:tcPr>
            <w:tcW w:w="2672" w:type="auto"/>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99" w:type="auto"/>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2301" w:type="auto"/>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购置费</w:t>
            </w: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运行维护费</w:t>
            </w:r>
          </w:p>
        </w:tc>
        <w:tc>
          <w:tcPr>
            <w:tcW w:w="2299" w:type="dxa"/>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68" w:type="dxa"/>
          <w:jc w:val="center"/>
          <w:tblCellMar>
            <w:top w:w="0" w:type="dxa"/>
            <w:left w:w="108" w:type="dxa"/>
            <w:bottom w:w="0" w:type="dxa"/>
            <w:right w:w="108" w:type="dxa"/>
          </w:tblCellMar>
          <w:tblLook w:val="0000"/>
        </w:tblPrEx>
        <w:trPr>
          <w:trHeight w:hRule="auto" w:val="0"/>
          <w:jc w:val="center"/>
        </w:trPr>
        <w:tc>
          <w:tcPr>
            <w:tcW w:w="2298"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672"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301"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14168" w:type="dxa"/>
          <w:jc w:val="center"/>
          <w:tblCellMar>
            <w:top w:w="0" w:type="dxa"/>
            <w:left w:w="108" w:type="dxa"/>
            <w:bottom w:w="0" w:type="dxa"/>
            <w:right w:w="108" w:type="dxa"/>
          </w:tblCellMar>
          <w:tblLook w:val="0000"/>
        </w:tblPrEx>
        <w:trPr>
          <w:trHeight w:hRule="auto" w:val="0"/>
          <w:jc w:val="center"/>
        </w:trPr>
        <w:tc>
          <w:tcPr>
            <w:tcW w:w="14168" w:type="dxa"/>
            <w:gridSpan w:val="6"/>
            <w:tcBorders>
              <w:top w:val="single" w:sz="4" w:space="0" w:color="auto"/>
              <w:tl2br w:val="nil"/>
              <w:tr2bl w:val="nil"/>
            </w:tcBorders>
            <w:vAlign w:val="center"/>
          </w:tcPr>
          <w:p>
            <w:pPr>
              <w:divId w:val="0"/>
              <w:snapToGrid w:val="0"/>
              <w:jc w:val="left"/>
              <w:rPr>
                <w:rFonts w:ascii="等线" w:eastAsia="等线" w:hAnsi="等线" w:cs="等线"/>
                <w:b w:val="0"/>
                <w:bCs w:val="0"/>
                <w:i w:val="0"/>
                <w:iCs w:val="0"/>
                <w:color w:val="333333"/>
                <w:spacing w:val="0"/>
                <w:w w:val="100"/>
                <w:sz w:val="20"/>
                <w:szCs w:val="20"/>
                <w:vertAlign w:val="baseline"/>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注：本表反映本年度一般公共预算和政府性基金预</w:t>
            </w:r>
            <w:r>
              <w:rPr>
                <w:rFonts w:ascii="等线" w:eastAsia="等线" w:hAnsi="等线" w:cs="等线" w:hint="eastAsia"/>
                <w:b w:val="0"/>
                <w:bCs w:val="0"/>
                <w:i w:val="0"/>
                <w:iCs w:val="0"/>
                <w:color w:val="333333"/>
                <w:spacing w:val="0"/>
                <w:w w:val="100"/>
                <w:sz w:val="20"/>
                <w:szCs w:val="20"/>
                <w:vertAlign w:val="baseline"/>
              </w:rPr>
              <w:t xml:space="preserve">算</w:t>
            </w:r>
            <w:r>
              <w:rPr>
                <w:rFonts w:ascii="等线" w:eastAsia="等线" w:hAnsi="等线" w:cs="等线" w:hint="eastAsia"/>
                <w:b w:val="0"/>
                <w:bCs w:val="0"/>
                <w:i w:val="0"/>
                <w:iCs w:val="0"/>
                <w:color w:val="333333"/>
                <w:spacing w:val="0"/>
                <w:w w:val="100"/>
                <w:sz w:val="20"/>
                <w:szCs w:val="20"/>
                <w:vertAlign w:val="baseline"/>
              </w:rPr>
              <w:t xml:space="preserve">“</w:t>
            </w:r>
            <w:r>
              <w:rPr>
                <w:rFonts w:ascii="等线" w:eastAsia="等线" w:hAnsi="等线" w:cs="等线" w:hint="eastAsia"/>
                <w:b w:val="0"/>
                <w:bCs w:val="0"/>
                <w:i w:val="0"/>
                <w:iCs w:val="0"/>
                <w:color w:val="333333"/>
                <w:spacing w:val="0"/>
                <w:w w:val="100"/>
                <w:sz w:val="20"/>
                <w:szCs w:val="20"/>
                <w:vertAlign w:val="baseline"/>
              </w:rPr>
              <w:t xml:space="preserve">三</w:t>
            </w:r>
            <w:r>
              <w:rPr>
                <w:rFonts w:ascii="等线" w:eastAsia="等线" w:hAnsi="等线" w:cs="等线" w:hint="eastAsia"/>
                <w:b w:val="0"/>
                <w:bCs w:val="0"/>
                <w:i w:val="0"/>
                <w:iCs w:val="0"/>
                <w:color w:val="333333"/>
                <w:spacing w:val="0"/>
                <w:w w:val="100"/>
                <w:sz w:val="20"/>
                <w:szCs w:val="20"/>
                <w:vertAlign w:val="baseline"/>
              </w:rPr>
              <w:t xml:space="preserve">公</w:t>
            </w:r>
            <w:r>
              <w:rPr>
                <w:rFonts w:ascii="等线" w:eastAsia="等线" w:hAnsi="等线" w:cs="等线" w:hint="eastAsia"/>
                <w:b w:val="0"/>
                <w:bCs w:val="0"/>
                <w:i w:val="0"/>
                <w:iCs w:val="0"/>
                <w:color w:val="333333"/>
                <w:spacing w:val="0"/>
                <w:w w:val="100"/>
                <w:sz w:val="20"/>
                <w:szCs w:val="20"/>
                <w:vertAlign w:val="baseline"/>
              </w:rPr>
              <w:t xml:space="preserve">”</w:t>
            </w:r>
            <w:r>
              <w:rPr>
                <w:rFonts w:ascii="等线" w:eastAsia="等线" w:hAnsi="等线" w:cs="等线" w:hint="eastAsia"/>
                <w:b w:val="0"/>
                <w:bCs w:val="0"/>
                <w:i w:val="0"/>
                <w:iCs w:val="0"/>
                <w:color w:val="333333"/>
                <w:spacing w:val="0"/>
                <w:w w:val="100"/>
                <w:sz w:val="20"/>
                <w:szCs w:val="20"/>
                <w:vertAlign w:val="baseline"/>
              </w:rPr>
              <w:t xml:space="preserve">经费支出决算情况。</w:t>
            </w:r>
          </w:p>
        </w:tc>
      </w:tr>
    </w:tbl>
    <w:p>
      <w:pPr>
        <w:divId w:val="0"/>
        <w:snapToGrid w:val="0"/>
        <w:jc w:val="left"/>
        <w:rPr>
          <w:rFonts w:ascii="等线" w:eastAsia="等线" w:hAnsi="等线" w:cs="等线" w:hint="eastAsia"/>
          <w:b w:val="0"/>
          <w:bCs w:val="0"/>
          <w:i w:val="0"/>
          <w:iCs w:val="0"/>
          <w:color w:val="333333"/>
          <w:spacing w:val="0"/>
          <w:w w:val="100"/>
          <w:sz w:val="20"/>
          <w:szCs w:val="20"/>
          <w:vertAlign w:val="baseline"/>
          <w:lang w:val="en-US" w:eastAsia="zh-CN"/>
        </w:rPr>
      </w:pPr>
      <w:r>
        <w:rPr>
          <w:rFonts w:ascii="等线" w:eastAsia="等线" w:hAnsi="等线" w:cs="等线" w:hint="eastAsia"/>
          <w:b w:val="0"/>
          <w:bCs w:val="0"/>
          <w:i w:val="0"/>
          <w:iCs w:val="0"/>
          <w:color w:val="333333"/>
          <w:spacing w:val="0"/>
          <w:w w:val="100"/>
          <w:sz w:val="20"/>
          <w:szCs w:val="20"/>
          <w:vertAlign w:val="baseline"/>
          <w:lang w:val="en-US" w:eastAsia="zh-CN"/>
        </w:rPr>
        <w:t xml:space="preserve">天津市西青区赤龙中学2025年财政拨款“三公”经费支出决算表为空表。</w:t>
      </w:r>
    </w:p>
    <w:p>
      <w:pPr>
        <w:pStyle w:val="标题2"/>
        <w:wordWrap w:val="0"/>
        <w:spacing w:before="0" w:after="0" w:line="800" w:lineRule="exact"/>
        <w:ind w:firstLine="600" w:firstLineChars="200"/>
        <w:rPr>
          <w:rFonts w:ascii="黑体" w:eastAsia="黑体" w:hAnsi="黑体" w:hint="eastAsia"/>
          <w:b w:val="0"/>
          <w:sz w:val="30"/>
          <w:szCs w:val="30"/>
          <w:highlight w:val="none"/>
        </w:rPr>
      </w:pPr>
      <w:r>
        <w:rPr>
          <w:rFonts w:ascii="黑体" w:eastAsia="黑体" w:hAnsi="仿宋" w:hint="eastAsia"/>
          <w:sz w:val="21"/>
          <w:szCs w:val="21"/>
          <w:lang w:val="en-US" w:eastAsia="zh-CN"/>
        </w:rPr>
        <w:br w:type="page"/>
      </w:r>
      <w:bookmarkStart w:id="14" w:name="_Toc28580"/>
      <w:r>
        <w:rPr>
          <w:rFonts w:ascii="黑体" w:eastAsia="黑体" w:hAnsi="黑体" w:hint="eastAsia"/>
          <w:b/>
          <w:bCs/>
          <w:sz w:val="30"/>
          <w:szCs w:val="30"/>
          <w:lang w:val="en-US" w:eastAsia="zh-CN"/>
        </w:rPr>
        <w:t xml:space="preserve">十一、《项目支出决算表》</w:t>
      </w:r>
      <w:bookmarkEnd w:id="14"/>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82"/>
        <w:gridCol w:w="894"/>
        <w:gridCol w:w="2133"/>
        <w:gridCol w:w="2133"/>
        <w:gridCol w:w="2133"/>
        <w:gridCol w:w="2133"/>
        <w:gridCol w:w="2133"/>
        <w:gridCol w:w="2133"/>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val="567"/>
          <w:jc w:val="center"/>
        </w:trPr>
        <w:tc>
          <w:tcPr>
            <w:tcW w:w="1701" w:type="dxa"/>
            <w:gridSpan w:val="4"/>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天津市西青区赤龙中学</w:t>
            </w: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val="567"/>
          <w:jc w:val="center"/>
        </w:trPr>
        <w:tc>
          <w:tcPr>
            <w:tcW w:w="1020"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268"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年</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支</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出</w:t>
            </w:r>
          </w:p>
        </w:tc>
      </w:tr>
      <w:tr>
        <w:tblPrEx>
          <w:tblW w:w="5000" w:type="pct"/>
          <w:jc w:val="center"/>
          <w:tblCellMar>
            <w:top w:w="0" w:type="dxa"/>
            <w:left w:w="108" w:type="dxa"/>
            <w:bottom w:w="0" w:type="dxa"/>
            <w:right w:w="108" w:type="dxa"/>
          </w:tblCellMar>
          <w:tblLook w:val="0000"/>
        </w:tblPrEx>
        <w:trPr>
          <w:trHeight w:val="567"/>
          <w:jc w:val="center"/>
        </w:trPr>
        <w:tc>
          <w:tcPr>
            <w:tcW w:w="1020"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一般公共</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政府性基金</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国有资本</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经营预算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财政专户</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管理资金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单位资金</w:t>
            </w: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1835266.29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1835266.29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1835266.29</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1835266.29</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1835266.29</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1835266.29</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初中教育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1809002.10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1809002.10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教育系统综合业务费</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1809002.10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1809002.10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2050299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其他普通教育支出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26264.19</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26264.19</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2050299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2025年高校毕业生“三支一扶”补助经费（市级经费）</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26264.19</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26264.19</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701"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注：本表反映本年度项目支出决算情况，其中支出数包括当年预算资金和以前年度结转资金安排的合计实际支出。</w:t>
            </w:r>
          </w:p>
        </w:tc>
      </w:tr>
    </w:tbl>
    <w:p>
      <w:pPr>
        <w:sectPr>
          <w:footerReference w:type="default" r:id="rId7"/>
          <w:type w:val="nextPage"/>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itlePg w:val="0"/>
          <w:textDirection w:val="lrTb"/>
          <w:docGrid w:type="lines" w:linePitch="312"/>
        </w:sectPr>
      </w:pPr>
    </w:p>
    <w:p>
      <w:pPr>
        <w:pStyle w:val="标题1"/>
        <w:wordWrap w:val="0"/>
        <w:spacing w:before="0" w:after="0" w:line="600" w:lineRule="exact"/>
        <w:jc w:val="center"/>
        <w:rPr>
          <w:rFonts w:ascii="方正小标宋简体" w:eastAsia="方正小标宋简体" w:hAnsi="方正小标宋简体" w:cs="方正小标宋简体"/>
          <w:b w:val="0"/>
          <w:sz w:val="44"/>
          <w:szCs w:val="44"/>
          <w:highlight w:val="none"/>
        </w:rPr>
      </w:pPr>
      <w:bookmarkStart w:id="15" w:name="_Toc4394"/>
      <w:r>
        <w:rPr>
          <w:rFonts w:ascii="方正小标宋简体" w:eastAsia="方正小标宋简体" w:hAnsi="方正小标宋简体" w:cs="方正小标宋简体" w:hint="eastAsia"/>
          <w:b w:val="0"/>
          <w:bCs w:val="0"/>
          <w:lang w:val="en-US" w:eastAsia="zh-CN"/>
        </w:rPr>
        <w:t xml:space="preserve">第三部分  2025年度单位决算情况说明</w:t>
      </w:r>
      <w:bookmarkEnd w:id="15"/>
    </w:p>
    <w:p>
      <w:pPr>
        <w:divId w:val="0"/>
        <w:spacing w:line="600" w:lineRule="exact"/>
        <w:ind w:firstLine="600" w:firstLineChars="200"/>
        <w:rPr>
          <w:rFonts w:ascii="黑体" w:eastAsia="黑体" w:hint="eastAsia"/>
          <w:sz w:val="30"/>
          <w:szCs w:val="30"/>
          <w:highlight w:val="none"/>
        </w:rPr>
      </w:pPr>
    </w:p>
    <w:p>
      <w:pPr>
        <w:pStyle w:val="标题2"/>
        <w:wordWrap w:val="0"/>
        <w:spacing w:before="0" w:after="0" w:line="600" w:lineRule="exact"/>
        <w:ind w:firstLine="600" w:firstLineChars="200"/>
        <w:rPr>
          <w:rFonts w:ascii="黑体" w:eastAsia="黑体" w:hAnsi="黑体" w:cs="方正仿宋_GB2312" w:hint="eastAsia"/>
          <w:bCs w:val="0"/>
          <w:sz w:val="30"/>
          <w:szCs w:val="30"/>
          <w:lang w:val="en-US" w:eastAsia="zh-CN"/>
        </w:rPr>
      </w:pPr>
      <w:bookmarkStart w:id="16" w:name="_Toc10264"/>
      <w:r>
        <w:rPr>
          <w:rFonts w:ascii="黑体" w:eastAsia="黑体" w:hAnsi="黑体" w:cs="方正仿宋_GB2312" w:hint="eastAsia"/>
          <w:bCs w:val="0"/>
          <w:sz w:val="30"/>
          <w:szCs w:val="30"/>
          <w:lang w:val="en-US" w:eastAsia="zh-CN"/>
        </w:rPr>
        <w:t xml:space="preserve">一、收入支出决算总体情况说明</w:t>
      </w:r>
      <w:bookmarkEnd w:id="1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天津市西青区赤龙中学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5,732,160.65</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增加2,981,829.09元，增长108.42%</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我校为2024年9月新建校，2025年收支为全年经费</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一般公共预算财政拨款收入5,502,332.15元、其他收入229,828.50元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教育支出5,732,160.65元</w:t>
      </w:r>
      <w:r>
        <w:rPr>
          <w:rFonts w:eastAsia="仿宋_GB2312" w:hint="eastAsia"/>
          <w:sz w:val="30"/>
          <w:szCs w:val="30"/>
          <w:highlight w:val="none"/>
          <w:lang w:val="en-US" w:eastAsia="zh-CN"/>
        </w:rPr>
        <w:t xml:space="preserve">。</w:t>
      </w:r>
    </w:p>
    <w:p>
      <w:pPr>
        <w:pStyle w:val="标题2"/>
        <w:wordWrap w:val="0"/>
        <w:spacing w:before="0" w:after="0" w:line="600" w:lineRule="exact"/>
        <w:ind w:firstLine="600" w:firstLineChars="200"/>
        <w:rPr>
          <w:rFonts w:ascii="黑体" w:eastAsia="黑体" w:hAnsi="黑体" w:cs="方正仿宋_GB2312" w:hint="eastAsia"/>
          <w:bCs w:val="0"/>
          <w:sz w:val="30"/>
          <w:szCs w:val="30"/>
          <w:lang w:val="en-US" w:eastAsia="zh-CN"/>
        </w:rPr>
      </w:pPr>
      <w:bookmarkStart w:id="17" w:name="_Toc10173"/>
      <w:r>
        <w:rPr>
          <w:rFonts w:ascii="黑体" w:eastAsia="黑体" w:hAnsi="黑体" w:cs="方正仿宋_GB2312" w:hint="eastAsia"/>
          <w:bCs w:val="0"/>
          <w:sz w:val="30"/>
          <w:szCs w:val="30"/>
          <w:lang w:val="en-US" w:eastAsia="zh-CN"/>
        </w:rPr>
        <w:t xml:space="preserve">二、收入决算情况说明</w:t>
      </w:r>
      <w:bookmarkEnd w:id="17"/>
    </w:p>
    <w:p>
      <w:pPr>
        <w:divId w:val="0"/>
        <w:spacing w:line="600" w:lineRule="exact"/>
        <w:ind w:firstLine="600"/>
        <w:rPr>
          <w:rFonts w:eastAsia="仿宋_GB2312" w:hint="eastAsia"/>
          <w:sz w:val="30"/>
          <w:szCs w:val="30"/>
          <w:highlight w:val="yellow"/>
          <w:lang w:val="en-US" w:eastAsia="zh-CN"/>
        </w:rPr>
      </w:pPr>
      <w:r>
        <w:rPr>
          <w:rFonts w:eastAsia="仿宋_GB2312" w:hint="eastAsia"/>
          <w:sz w:val="30"/>
          <w:szCs w:val="30"/>
          <w:highlight w:val="none"/>
          <w:lang w:val="en-US" w:eastAsia="zh-CN"/>
        </w:rPr>
        <w:t xml:space="preserve">天津市西青区赤龙中学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年度本年收入合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5,732,160.65</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增加2,981,829.09元，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我校为2024年9月新建校，2025年收支为全年经费</w:t>
      </w:r>
      <w:r>
        <w:rPr>
          <w:rFonts w:eastAsia="仿宋_GB2312" w:hint="eastAsia"/>
          <w:sz w:val="30"/>
          <w:szCs w:val="30"/>
          <w:highlight w:val="none"/>
          <w:lang w:val="en-US" w:eastAsia="zh-CN"/>
        </w:rPr>
        <w:t xml:space="preserve">。其中：</w:t>
      </w:r>
      <w:r>
        <w:rPr>
          <w:rFonts w:eastAsia="仿宋_GB2312" w:hint="eastAsia"/>
          <w:sz w:val="30"/>
          <w:szCs w:val="30"/>
          <w:highlight w:val="none"/>
          <w:lang w:val="en-US" w:eastAsia="zh-CN"/>
        </w:rPr>
        <w:t xml:space="preserve">一般公共预算财政拨款收入5,502,332.15元，占95.99%；其他收入229,828.50元，占4.01%</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8" w:name="_Toc30390"/>
      <w:r>
        <w:rPr>
          <w:rFonts w:ascii="黑体" w:eastAsia="黑体" w:hAnsi="黑体" w:cs="方正仿宋_GB2312" w:hint="eastAsia"/>
          <w:bCs w:val="0"/>
          <w:sz w:val="30"/>
          <w:szCs w:val="30"/>
          <w:highlight w:val="none"/>
          <w:u w:val="none"/>
          <w:lang w:val="en-US" w:eastAsia="zh-CN"/>
        </w:rPr>
        <w:t xml:space="preserve">三、支出决算情况说明</w:t>
      </w:r>
      <w:bookmarkEnd w:id="18"/>
    </w:p>
    <w:p>
      <w:pPr>
        <w:divId w:val="0"/>
        <w:spacing w:line="600" w:lineRule="exact"/>
        <w:ind w:firstLine="600" w:firstLineChars="200"/>
        <w:rPr>
          <w:rFonts w:eastAsia="仿宋_GB2312" w:hint="eastAsia"/>
          <w:sz w:val="30"/>
          <w:szCs w:val="30"/>
          <w:highlight w:val="yellow"/>
          <w:lang w:val="en-US" w:eastAsia="zh-CN"/>
        </w:rPr>
      </w:pPr>
      <w:r>
        <w:rPr>
          <w:rFonts w:eastAsia="仿宋_GB2312" w:hint="eastAsia"/>
          <w:sz w:val="30"/>
          <w:szCs w:val="30"/>
          <w:highlight w:val="none"/>
          <w:lang w:val="en-US" w:eastAsia="zh-CN"/>
        </w:rPr>
        <w:t xml:space="preserve">天津市西青区赤龙中学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年度本年支出合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5,732,160.65</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增加2,981,829.09元，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我校为2024年9月新建校，2025年收支为全年经费</w:t>
      </w:r>
      <w:r>
        <w:rPr>
          <w:rFonts w:eastAsia="仿宋_GB2312" w:hint="eastAsia"/>
          <w:sz w:val="30"/>
          <w:szCs w:val="30"/>
          <w:highlight w:val="none"/>
          <w:lang w:val="en-US" w:eastAsia="zh-CN"/>
        </w:rPr>
        <w:t xml:space="preserve">。其中：</w:t>
      </w:r>
      <w:r>
        <w:rPr>
          <w:rFonts w:eastAsia="仿宋_GB2312" w:hint="eastAsia"/>
          <w:sz w:val="30"/>
          <w:szCs w:val="30"/>
          <w:highlight w:val="none"/>
        </w:rPr>
        <w:t xml:space="preserve">基本支出3,896,894.36元，占67.98%；项目支出1,835,266.29元，占32.02%</w:t>
      </w:r>
      <w:r>
        <w:rPr>
          <w:rFonts w:eastAsia="仿宋_GB2312" w:hint="eastAsia"/>
          <w:sz w:val="30"/>
          <w:szCs w:val="30"/>
          <w:highlight w:val="none"/>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9" w:name="_Toc3712"/>
      <w:r>
        <w:rPr>
          <w:rFonts w:ascii="黑体" w:eastAsia="黑体" w:hAnsi="黑体" w:cs="方正仿宋_GB2312" w:hint="eastAsia"/>
          <w:bCs w:val="0"/>
          <w:sz w:val="30"/>
          <w:szCs w:val="30"/>
          <w:highlight w:val="none"/>
          <w:u w:val="none"/>
          <w:lang w:val="en-US" w:eastAsia="zh-CN"/>
        </w:rPr>
        <w:t xml:space="preserve">四、财政拨款收支决算总体情况说明</w:t>
      </w:r>
      <w:bookmarkEnd w:id="19"/>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天津市西青区赤龙中学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年度财政拨款收入、支出决算总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5,502,332.15</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年度相比，财政拨款收、支总计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增加2,807,269.59元，增长104.16%，</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我校为2024年9月新建校，2025年收支为全年经费</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一般公共预算财政拨款5,502,332.15元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教育支出5,502,332.15元</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20" w:name="_Toc11697"/>
      <w:r>
        <w:rPr>
          <w:rFonts w:ascii="黑体" w:eastAsia="黑体" w:hAnsi="黑体" w:cs="方正仿宋_GB2312" w:hint="eastAsia"/>
          <w:bCs w:val="0"/>
          <w:sz w:val="30"/>
          <w:szCs w:val="30"/>
          <w:highlight w:val="none"/>
          <w:u w:val="none"/>
          <w:lang w:val="en-US" w:eastAsia="zh-CN"/>
        </w:rPr>
        <w:t xml:space="preserve">五、一般公共预算财政拨款支出决算情况说明</w:t>
      </w:r>
      <w:bookmarkEnd w:id="20"/>
    </w:p>
    <w:p>
      <w:pPr>
        <w:divId w:val="0"/>
        <w:spacing w:line="600" w:lineRule="exact"/>
        <w:ind w:left="480" w:left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lang w:val="en-US" w:eastAsia="zh-CN"/>
        </w:rPr>
        <w:t xml:space="preserve">（一）总体情况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天津市西青区赤龙中学2025年度一般公共预算财政拨款支出合计5,502,332.15元，占本年支出合计的95.99%。与2024年度相比，一般公共预算财政拨款支出</w:t>
      </w:r>
      <w:r>
        <w:rPr>
          <w:rFonts w:eastAsia="仿宋_GB2312" w:hint="eastAsia"/>
          <w:sz w:val="30"/>
          <w:szCs w:val="30"/>
          <w:highlight w:val="none"/>
          <w:lang w:val="en-US" w:eastAsia="zh-CN"/>
        </w:rPr>
        <w:t xml:space="preserve">增加2,807,269.59元</w:t>
      </w:r>
      <w:r>
        <w:rPr>
          <w:rFonts w:eastAsia="仿宋_GB2312" w:hint="eastAsia"/>
          <w:sz w:val="30"/>
          <w:szCs w:val="30"/>
          <w:highlight w:val="none"/>
          <w:lang w:val="en-US" w:eastAsia="zh-CN"/>
        </w:rPr>
        <w:t xml:space="preserve">，增长104.16%</w:t>
      </w:r>
      <w:r>
        <w:rPr>
          <w:rFonts w:eastAsia="仿宋_GB2312" w:hint="eastAsia"/>
          <w:sz w:val="30"/>
          <w:szCs w:val="30"/>
          <w:highlight w:val="none"/>
          <w:lang w:val="en-US" w:eastAsia="zh-CN"/>
        </w:rPr>
        <w:t xml:space="preserve">，主要原因是我校为2024年9月新建校，2025年收支为全年经费。</w:t>
      </w:r>
    </w:p>
    <w:p>
      <w:pPr>
        <w:divId w:val="0"/>
        <w:spacing w:line="600" w:lineRule="exact"/>
        <w:ind w:firstLine="600" w:firstLineChars="200"/>
        <w:rPr>
          <w:rFonts w:ascii="楷体" w:eastAsia="楷体" w:hAnsi="楷体" w:cs="方正仿宋_GB2312" w:hint="eastAsia"/>
          <w:b/>
          <w:sz w:val="30"/>
          <w:szCs w:val="30"/>
          <w:highlight w:val="none"/>
          <w:lang w:val="en-US" w:eastAsia="zh-CN"/>
        </w:rPr>
      </w:pPr>
      <w:r>
        <w:rPr>
          <w:rFonts w:ascii="楷体" w:eastAsia="楷体" w:hAnsi="楷体" w:cs="方正仿宋_GB2312" w:hint="eastAsia"/>
          <w:b/>
          <w:sz w:val="30"/>
          <w:szCs w:val="30"/>
          <w:lang w:val="en-US" w:eastAsia="zh-CN"/>
        </w:rPr>
        <w:t xml:space="preserve">（二）支出结构情况</w:t>
      </w:r>
    </w:p>
    <w:p>
      <w:pPr>
        <w:divId w:val="0"/>
        <w:spacing w:line="600" w:lineRule="exact"/>
        <w:ind w:firstLine="600" w:firstLineChars="200"/>
        <w:rPr>
          <w:rFonts w:eastAsia="仿宋_GB2312"/>
          <w:sz w:val="30"/>
          <w:szCs w:val="30"/>
          <w:highlight w:val="none"/>
        </w:rPr>
      </w:pPr>
      <w:r>
        <w:rPr>
          <w:rFonts w:eastAsia="仿宋_GB2312" w:hint="eastAsia"/>
          <w:sz w:val="30"/>
          <w:szCs w:val="30"/>
          <w:highlight w:val="none"/>
          <w:lang w:val="en-US" w:eastAsia="zh-CN"/>
        </w:rPr>
        <w:t xml:space="preserve">2025年度一般公共预算财政拨款支出5,502,332.15元，主要用于以下方面：</w:t>
      </w:r>
      <w:r>
        <w:rPr>
          <w:rFonts w:eastAsia="仿宋_GB2312" w:hint="eastAsia"/>
          <w:sz w:val="30"/>
          <w:szCs w:val="30"/>
          <w:highlight w:val="none"/>
        </w:rPr>
        <w:t xml:space="preserve">教育支出（类）支出5,502,332.15元，占100.00%</w:t>
      </w:r>
      <w:r>
        <w:rPr>
          <w:rFonts w:eastAsia="仿宋_GB2312" w:hint="eastAsia"/>
          <w:sz w:val="30"/>
          <w:szCs w:val="30"/>
          <w:highlight w:val="none"/>
        </w:rPr>
        <w:t xml:space="preserve">。</w:t>
      </w:r>
    </w:p>
    <w:p>
      <w:pPr>
        <w:divId w:val="0"/>
        <w:spacing w:line="600" w:lineRule="exact"/>
        <w:ind w:firstLine="600" w:firstLine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lang w:val="en-US" w:eastAsia="zh-CN"/>
        </w:rPr>
        <w:t xml:space="preserve">（三）具体情况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2025年度一般公共预算财政拨款支出年初预算为5,231,065.56元，支出决算为5,502,332.15元</w:t>
      </w:r>
      <w:r>
        <w:rPr>
          <w:rFonts w:eastAsia="仿宋_GB2312" w:hint="eastAsia"/>
          <w:sz w:val="30"/>
          <w:szCs w:val="30"/>
          <w:highlight w:val="none"/>
          <w:lang w:val="en-US" w:eastAsia="zh-CN"/>
        </w:rPr>
        <w:t xml:space="preserve">，完成年初预算的105.19%</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1.教育支出（类）普通教育（款）初中教育（项）年初预算为5,231,065.56元，支出决算为5,476,067.96元，完成年初预算的104.68%，决算数大于年初预算数的主要原因是：本年度人员增加，相应收支增加。</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2.教育支出（类）普通教育（款）其他普通教育支出（项）年初预算为0.00元，支出决算为26,264.19元，决算数大于年初预算数的主要原因是：追加预算，用于高校毕业生“三支一扶”补助经费。</w:t>
      </w:r>
    </w:p>
    <w:p>
      <w:pPr>
        <w:pStyle w:val="标题2"/>
        <w:spacing w:before="0" w:after="0" w:line="600" w:lineRule="exact"/>
        <w:ind w:firstLine="600" w:firstLineChars="200"/>
        <w:rPr>
          <w:rFonts w:ascii="黑体" w:eastAsia="黑体" w:hAnsi="黑体"/>
          <w:b w:val="0"/>
          <w:sz w:val="30"/>
          <w:szCs w:val="30"/>
          <w:highlight w:val="none"/>
        </w:rPr>
      </w:pPr>
      <w:bookmarkStart w:id="21" w:name="_Toc32353"/>
      <w:r>
        <w:rPr>
          <w:rFonts w:ascii="黑体" w:eastAsia="黑体" w:hAnsi="黑体" w:cs="方正仿宋_GB2312" w:hint="eastAsia"/>
          <w:bCs w:val="0"/>
          <w:sz w:val="30"/>
          <w:szCs w:val="30"/>
          <w:highlight w:val="none"/>
          <w:u w:val="none"/>
          <w:lang w:val="en-US" w:eastAsia="zh-CN"/>
        </w:rPr>
        <w:t xml:space="preserve">六、一般公共预算财政拨款基本支出决算情况说明</w:t>
      </w:r>
      <w:bookmarkEnd w:id="21"/>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天津市西青区赤龙中学2025年度一般公共预算财政拨款基本支出合计3,667,065.86元，与2024年度相比</w:t>
      </w:r>
      <w:r>
        <w:rPr>
          <w:rFonts w:eastAsia="仿宋_GB2312" w:hint="eastAsia"/>
          <w:sz w:val="30"/>
          <w:szCs w:val="30"/>
          <w:highlight w:val="none"/>
          <w:lang w:val="en-US" w:eastAsia="zh-CN"/>
        </w:rPr>
        <w:t xml:space="preserve">增加2,045,657.72元，</w:t>
      </w:r>
      <w:r>
        <w:rPr>
          <w:rFonts w:eastAsia="仿宋_GB2312" w:hint="eastAsia"/>
          <w:sz w:val="30"/>
          <w:szCs w:val="30"/>
          <w:highlight w:val="none"/>
          <w:lang w:val="en-US" w:eastAsia="zh-CN"/>
        </w:rPr>
        <w:t xml:space="preserve">主要原因是我校为2024年9月新建校，2025年收支出为全年经费。</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人员经费3,498,865.86元，主要包括</w:t>
      </w:r>
      <w:r>
        <w:rPr>
          <w:rFonts w:eastAsia="仿宋_GB2312" w:hint="eastAsia"/>
          <w:sz w:val="30"/>
          <w:szCs w:val="30"/>
          <w:highlight w:val="none"/>
          <w:lang w:val="en-US" w:eastAsia="zh-CN"/>
        </w:rPr>
        <w:t xml:space="preserve">基本工资、津贴补贴、奖金、绩效工资、机关事业单位基本养老保险缴费、职业年金缴费、职工基本医疗保险缴费、其他社会保障缴费、住房公积金、医疗费、奖励金、其他对个人和家庭的补助</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公用经费168,200.00元，主要包括</w:t>
      </w:r>
      <w:r>
        <w:rPr>
          <w:rFonts w:eastAsia="仿宋_GB2312" w:hint="eastAsia"/>
          <w:sz w:val="30"/>
          <w:szCs w:val="30"/>
          <w:highlight w:val="none"/>
          <w:lang w:val="en-US" w:eastAsia="zh-CN"/>
        </w:rPr>
        <w:t xml:space="preserve">物业管理费</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楷体" w:eastAsia="楷体" w:hAnsi="楷体" w:cs="方正仿宋_GB2312" w:hint="eastAsia"/>
          <w:b w:val="0"/>
          <w:sz w:val="30"/>
          <w:szCs w:val="30"/>
          <w:highlight w:val="none"/>
        </w:rPr>
      </w:pPr>
      <w:bookmarkStart w:id="22" w:name="_Toc7101"/>
      <w:r>
        <w:rPr>
          <w:rFonts w:ascii="黑体" w:eastAsia="黑体" w:hAnsi="黑体" w:cs="方正仿宋_GB2312" w:hint="eastAsia"/>
          <w:bCs w:val="0"/>
          <w:sz w:val="30"/>
          <w:szCs w:val="30"/>
          <w:highlight w:val="none"/>
          <w:u w:val="none"/>
          <w:lang w:val="en-US" w:eastAsia="zh-CN"/>
        </w:rPr>
        <w:t xml:space="preserve">七、政府性基金预算财政拨款收支决算情况说明</w:t>
      </w:r>
      <w:bookmarkEnd w:id="22"/>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天津市西青区赤龙中学2025年度无政府性基金预算财政拨款收入、支出和结转结余。</w:t>
      </w:r>
    </w:p>
    <w:p>
      <w:pPr>
        <w:pStyle w:val="标题2"/>
        <w:spacing w:before="0" w:after="0" w:line="600" w:lineRule="exact"/>
        <w:ind w:firstLine="600" w:firstLineChars="200"/>
        <w:rPr>
          <w:rFonts w:eastAsia="黑体" w:hint="eastAsia"/>
          <w:b w:val="0"/>
          <w:sz w:val="30"/>
          <w:szCs w:val="30"/>
          <w:highlight w:val="none"/>
        </w:rPr>
      </w:pPr>
      <w:bookmarkStart w:id="23" w:name="_Toc1743"/>
      <w:r>
        <w:rPr>
          <w:rFonts w:ascii="黑体" w:eastAsia="黑体" w:hAnsi="黑体" w:cs="方正仿宋_GB2312" w:hint="eastAsia"/>
          <w:bCs w:val="0"/>
          <w:sz w:val="30"/>
          <w:szCs w:val="30"/>
          <w:highlight w:val="none"/>
          <w:u w:val="none"/>
          <w:lang w:val="en-US" w:eastAsia="zh-CN"/>
        </w:rPr>
        <w:t xml:space="preserve">八、国有资本经营预算财政拨款收支决算情况说明</w:t>
      </w:r>
      <w:bookmarkEnd w:id="23"/>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天津市西青区赤龙中学2025年度无国有资本经营预算财政拨款收入、支出和结转结余。</w:t>
      </w:r>
    </w:p>
    <w:p>
      <w:pPr>
        <w:pStyle w:val="标题2"/>
        <w:spacing w:before="0" w:after="0" w:line="600" w:lineRule="exact"/>
        <w:ind w:firstLine="600" w:firstLineChars="200"/>
        <w:rPr>
          <w:rFonts w:ascii="黑体" w:eastAsia="黑体" w:hAnsi="黑体"/>
          <w:b w:val="0"/>
          <w:sz w:val="30"/>
          <w:szCs w:val="30"/>
          <w:highlight w:val="none"/>
        </w:rPr>
      </w:pPr>
      <w:bookmarkStart w:id="24" w:name="_Toc26580"/>
      <w:r>
        <w:rPr>
          <w:rFonts w:ascii="黑体" w:eastAsia="黑体" w:hAnsi="黑体" w:cs="方正仿宋_GB2312" w:hint="eastAsia"/>
          <w:bCs w:val="0"/>
          <w:sz w:val="30"/>
          <w:szCs w:val="30"/>
          <w:highlight w:val="none"/>
          <w:u w:val="none"/>
          <w:lang w:val="en-US" w:eastAsia="zh-CN"/>
        </w:rPr>
        <w:t xml:space="preserve">九、财政拨款“三公”经费支出决算情况说明</w:t>
      </w:r>
      <w:bookmarkEnd w:id="24"/>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（一）总体情况</w:t>
      </w:r>
    </w:p>
    <w:p>
      <w:pPr>
        <w:divId w:val="0"/>
        <w:spacing w:line="600" w:lineRule="exact"/>
        <w:ind w:firstLine="600"/>
        <w:rPr>
          <w:rFonts w:eastAsia="仿宋_GB2312" w:hint="default"/>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年财政拨</w:t>
      </w:r>
      <w:r>
        <w:rPr>
          <w:rFonts w:eastAsia="仿宋_GB2312" w:hint="eastAsia"/>
          <w:sz w:val="30"/>
          <w:szCs w:val="30"/>
          <w:highlight w:val="none"/>
          <w:lang w:val="en-US" w:eastAsia="zh-CN"/>
        </w:rPr>
        <w:t xml:space="preserve">款</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决算数与预算数持平的主要原因是本年度未用财政拨款经费列支“三公”经费；</w:t>
      </w:r>
      <w:r>
        <w:rPr>
          <w:rFonts w:eastAsia="仿宋_GB2312" w:hint="eastAsia"/>
          <w:sz w:val="30"/>
          <w:szCs w:val="30"/>
          <w:highlight w:val="none"/>
          <w:lang w:val="en-US" w:eastAsia="zh-CN"/>
        </w:rPr>
        <w:t xml:space="preserve">决算数较上年持平的主要原因是本年度未用财政拨款经费列支“三公”经费。</w:t>
      </w:r>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（二）具体情况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因公出国（境）费预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决算数与预算数持平的主要原因是本年度未用财政拨款经费列支因公出国（境）费；</w:t>
      </w:r>
      <w:r>
        <w:rPr>
          <w:rFonts w:eastAsia="仿宋_GB2312" w:hint="eastAsia"/>
          <w:sz w:val="30"/>
          <w:szCs w:val="30"/>
          <w:highlight w:val="none"/>
          <w:lang w:val="en-US" w:eastAsia="zh-CN"/>
        </w:rPr>
        <w:t xml:space="preserve">决算数较上年持平的主要原因是本年度未用财政拨款经费列支因公出国（境）费。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年本单位组织的出国团</w:t>
      </w:r>
      <w:r>
        <w:rPr>
          <w:rFonts w:eastAsia="仿宋_GB2312" w:hint="eastAsia"/>
          <w:sz w:val="30"/>
          <w:szCs w:val="30"/>
          <w:highlight w:val="none"/>
          <w:lang w:val="en-US" w:eastAsia="zh-CN"/>
        </w:rPr>
        <w:t xml:space="preserve">组</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个，出</w:t>
      </w:r>
      <w:r>
        <w:rPr>
          <w:rFonts w:eastAsia="仿宋_GB2312" w:hint="eastAsia"/>
          <w:sz w:val="30"/>
          <w:szCs w:val="30"/>
          <w:highlight w:val="none"/>
          <w:lang w:val="en-US" w:eastAsia="zh-CN"/>
        </w:rPr>
        <w:t xml:space="preserve">国</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公务用车购置及运行维护费预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决算数与预算数持平的主要原因是本年度未用财政拨款经费列支公务用车购置及运行维护费；</w:t>
      </w:r>
      <w:r>
        <w:rPr>
          <w:rFonts w:eastAsia="仿宋_GB2312" w:hint="eastAsia"/>
          <w:sz w:val="30"/>
          <w:szCs w:val="30"/>
          <w:highlight w:val="none"/>
          <w:lang w:val="en-US" w:eastAsia="zh-CN"/>
        </w:rPr>
        <w:t xml:space="preserve">决算数较上年持平的主要原因是本年度未用财政拨款经费列支公务用车购置及运行维护费。</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决算数与预算数持平的主要原因是本年度未用财政拨款经费列支公务用车运行维护费；</w:t>
      </w:r>
      <w:r>
        <w:rPr>
          <w:rFonts w:eastAsia="仿宋_GB2312" w:hint="eastAsia"/>
          <w:sz w:val="30"/>
          <w:szCs w:val="30"/>
          <w:highlight w:val="none"/>
          <w:lang w:val="en-US" w:eastAsia="zh-CN"/>
        </w:rPr>
        <w:t xml:space="preserve">决算数较上年持平的主要原因是本年度未用财政拨款经费列支公务用车运行维护费。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截</w:t>
      </w:r>
      <w:r>
        <w:rPr>
          <w:rFonts w:eastAsia="仿宋_GB2312" w:hint="eastAsia"/>
          <w:sz w:val="30"/>
          <w:szCs w:val="30"/>
          <w:highlight w:val="none"/>
          <w:lang w:val="en-US" w:eastAsia="zh-CN"/>
        </w:rPr>
        <w:t xml:space="preserve">至</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月</w:t>
      </w: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日，使用财政拨款开支运行维护费的公务用车保有量</w:t>
      </w:r>
      <w:r>
        <w:rPr>
          <w:rFonts w:eastAsia="仿宋_GB2312" w:hint="eastAsia"/>
          <w:sz w:val="30"/>
          <w:szCs w:val="30"/>
          <w:highlight w:val="none"/>
          <w:lang w:val="en-US" w:eastAsia="zh-CN"/>
        </w:rPr>
        <w:t xml:space="preserve">为</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辆</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公务用车购置费预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决算数与预算数持平的主要原因是本年度未用财政拨款经费列支公务用车购置费；</w:t>
      </w:r>
      <w:r>
        <w:rPr>
          <w:rFonts w:eastAsia="仿宋_GB2312" w:hint="eastAsia"/>
          <w:sz w:val="30"/>
          <w:szCs w:val="30"/>
          <w:highlight w:val="none"/>
          <w:lang w:val="en-US" w:eastAsia="zh-CN"/>
        </w:rPr>
        <w:t xml:space="preserve">决算数较上年持平的主要原因是本年度未用财政拨款经费列支公务用车购置费。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年购置公务用</w:t>
      </w:r>
      <w:r>
        <w:rPr>
          <w:rFonts w:eastAsia="仿宋_GB2312" w:hint="eastAsia"/>
          <w:sz w:val="30"/>
          <w:szCs w:val="30"/>
          <w:highlight w:val="none"/>
          <w:lang w:val="en-US" w:eastAsia="zh-CN"/>
        </w:rPr>
        <w:t xml:space="preserve">车</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辆。</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公务接待费预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决算数与预算数持平的主要原因是本年度未用财政拨款经费列支公务接待费；</w:t>
      </w:r>
      <w:r>
        <w:rPr>
          <w:rFonts w:eastAsia="仿宋_GB2312" w:hint="eastAsia"/>
          <w:sz w:val="30"/>
          <w:szCs w:val="30"/>
          <w:highlight w:val="none"/>
          <w:lang w:val="en-US" w:eastAsia="zh-CN"/>
        </w:rPr>
        <w:t xml:space="preserve">决算数较上年持平的主要原因是本年度未用财政拨款经费列支公务接待费。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年本单位国内公务接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人次；其中，外事接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pStyle w:val="标题2"/>
        <w:spacing w:before="0" w:after="0" w:line="600" w:lineRule="exact"/>
        <w:ind w:firstLine="600" w:firstLineChars="200"/>
        <w:rPr>
          <w:rFonts w:ascii="黑体" w:eastAsia="黑体" w:hAnsi="黑体"/>
          <w:b w:val="0"/>
          <w:sz w:val="30"/>
          <w:szCs w:val="30"/>
          <w:highlight w:val="none"/>
        </w:rPr>
      </w:pPr>
      <w:bookmarkStart w:id="25" w:name="_Toc23303"/>
      <w:r>
        <w:rPr>
          <w:rFonts w:ascii="黑体" w:eastAsia="黑体" w:hAnsi="黑体" w:cs="方正仿宋_GB2312" w:hint="eastAsia"/>
          <w:bCs w:val="0"/>
          <w:sz w:val="30"/>
          <w:szCs w:val="30"/>
          <w:highlight w:val="none"/>
          <w:u w:val="none"/>
          <w:lang w:val="en-US" w:eastAsia="zh-CN"/>
        </w:rPr>
        <w:t xml:space="preserve">十、机关运行经费支出情况说明</w:t>
      </w:r>
      <w:bookmarkEnd w:id="25"/>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天津市西青区赤龙中学2025年度无机关运行经费。</w:t>
      </w:r>
    </w:p>
    <w:p>
      <w:pPr>
        <w:pStyle w:val="标题2"/>
        <w:spacing w:before="0" w:after="0" w:line="600" w:lineRule="exact"/>
        <w:ind w:firstLine="600" w:firstLineChars="200"/>
        <w:rPr>
          <w:rFonts w:ascii="黑体" w:eastAsia="黑体" w:hAnsi="黑体" w:cs="方正仿宋_GB2312" w:hint="eastAsia"/>
          <w:bCs w:val="0"/>
          <w:sz w:val="30"/>
          <w:szCs w:val="30"/>
          <w:highlight w:val="none"/>
          <w:u w:val="none"/>
          <w:lang w:val="en-US" w:eastAsia="zh-CN"/>
        </w:rPr>
      </w:pPr>
      <w:bookmarkStart w:id="26" w:name="_Toc2013"/>
      <w:r>
        <w:rPr>
          <w:rFonts w:ascii="黑体" w:eastAsia="黑体" w:hAnsi="黑体" w:cs="方正仿宋_GB2312" w:hint="eastAsia"/>
          <w:bCs w:val="0"/>
          <w:sz w:val="30"/>
          <w:szCs w:val="30"/>
          <w:highlight w:val="none"/>
          <w:u w:val="none"/>
          <w:lang w:val="en-US" w:eastAsia="zh-CN"/>
        </w:rPr>
        <w:t xml:space="preserve">十一、政府采购支出情况说明</w:t>
      </w:r>
      <w:bookmarkEnd w:id="2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赤龙中学2025年政府采购支出总额824,624.77元，其中：政府采购货物支出25,400.00元、政府采购工程支出0.00元、政府采购服务支出799,224.77元。授予中小企业合同金额824,624.77元，占政府采购支出总额的100.00%，其中：授予小微企业合同金额824,624.77元，占政府采购支出总额的100.00%；货物采购授予中小企业合同金额占货物支出金额的100.00%，工程采购授予中小企业合同金额占工程支出金额的0.00%，服务采购授予中小企业合同金额占服务支出金额的100.00%。</w:t>
      </w:r>
    </w:p>
    <w:p>
      <w:pPr>
        <w:pStyle w:val="标题2"/>
        <w:spacing w:before="0" w:after="0" w:line="600" w:lineRule="exact"/>
        <w:ind w:firstLine="600" w:firstLineChars="200"/>
        <w:rPr>
          <w:rFonts w:ascii="黑体" w:eastAsia="黑体" w:hAnsi="黑体" w:hint="eastAsia"/>
          <w:b w:val="0"/>
          <w:sz w:val="30"/>
          <w:szCs w:val="30"/>
          <w:highlight w:val="none"/>
        </w:rPr>
      </w:pPr>
      <w:bookmarkStart w:id="27" w:name="_Toc21119"/>
      <w:r>
        <w:rPr>
          <w:rFonts w:ascii="黑体" w:eastAsia="黑体" w:hAnsi="黑体" w:cs="方正仿宋_GB2312" w:hint="eastAsia"/>
          <w:bCs w:val="0"/>
          <w:sz w:val="30"/>
          <w:szCs w:val="30"/>
          <w:highlight w:val="none"/>
          <w:u w:val="none"/>
          <w:lang w:val="en-US" w:eastAsia="zh-CN"/>
        </w:rPr>
        <w:t xml:space="preserve">十二、国有资产占有使用情况说明</w:t>
      </w:r>
      <w:bookmarkEnd w:id="27"/>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天津市西青区赤龙中学2025年度无国有资产占有使用情况。</w:t>
      </w:r>
    </w:p>
    <w:p>
      <w:pPr>
        <w:pStyle w:val="标题2"/>
        <w:spacing w:before="0" w:after="0" w:line="600" w:lineRule="exact"/>
        <w:ind w:firstLine="600" w:firstLineChars="200"/>
        <w:rPr>
          <w:rFonts w:ascii="黑体" w:eastAsia="黑体" w:hAnsi="黑体" w:cs="方正仿宋_GB2312" w:hint="eastAsia"/>
          <w:b/>
          <w:bCs w:val="0"/>
          <w:sz w:val="30"/>
          <w:szCs w:val="30"/>
          <w:highlight w:val="none"/>
          <w:u w:val="none"/>
          <w:lang w:val="en-US" w:eastAsia="zh-CN"/>
        </w:rPr>
      </w:pPr>
      <w:bookmarkStart w:id="28" w:name="_Toc4570"/>
      <w:r>
        <w:rPr>
          <w:rFonts w:ascii="黑体" w:eastAsia="黑体" w:hAnsi="黑体" w:cs="方正仿宋_GB2312" w:hint="eastAsia"/>
          <w:b/>
          <w:bCs w:val="0"/>
          <w:sz w:val="30"/>
          <w:szCs w:val="30"/>
          <w:highlight w:val="none"/>
          <w:u w:val="none"/>
          <w:lang w:val="en-US" w:eastAsia="zh-CN"/>
        </w:rPr>
        <w:t xml:space="preserve">十三、预算绩效情况说明</w:t>
      </w:r>
      <w:bookmarkEnd w:id="28"/>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根据预算绩效管理要求，天津市西青区赤龙中学已对2个2025年度项目开展绩效自评，涉及金额1,845,460.50元，自评结果已随部门决算一并公开。</w:t>
      </w:r>
    </w:p>
    <w:p>
      <w:pPr>
        <w:pStyle w:val="标题2"/>
        <w:spacing w:before="0" w:after="0" w:line="600" w:lineRule="exact"/>
        <w:ind w:firstLine="600" w:firstLineChars="200"/>
        <w:rPr>
          <w:rFonts w:ascii="Times New Roman" w:eastAsia="黑体" w:hAnsi="Times New Roman"/>
          <w:b w:val="0"/>
          <w:sz w:val="30"/>
          <w:szCs w:val="30"/>
          <w:highlight w:val="none"/>
        </w:rPr>
      </w:pPr>
      <w:bookmarkStart w:id="29" w:name="_Toc32245"/>
      <w:r>
        <w:rPr>
          <w:rFonts w:ascii="黑体" w:eastAsia="黑体" w:hAnsi="黑体" w:cs="方正仿宋_GB2312" w:hint="eastAsia"/>
          <w:bCs w:val="0"/>
          <w:sz w:val="30"/>
          <w:szCs w:val="30"/>
          <w:highlight w:val="none"/>
          <w:u w:val="none"/>
          <w:lang w:val="en-US" w:eastAsia="zh-CN"/>
        </w:rPr>
        <w:t xml:space="preserve">十四、教育、医疗卫生、社会保障和就业、住房保障、涉农补贴等民生支出情况说明</w:t>
      </w:r>
      <w:bookmarkEnd w:id="29"/>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天津市西青区赤龙中学不属于乡、镇、街级单位，不涉及公开2025年度教育、医疗卫生、社会保障和就业、住房保障、涉农补贴等民生支出情况。</w:t>
      </w: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r>
        <w:rPr>
          <w:rFonts w:ascii="方正小标宋简体" w:eastAsia="方正小标宋简体" w:hAnsi="方正小标宋简体" w:cs="方正小标宋简体" w:hint="eastAsia"/>
          <w:b w:val="0"/>
          <w:sz w:val="48"/>
          <w:szCs w:val="48"/>
          <w:highlight w:val="none"/>
        </w:rPr>
        <w:br w:type="page"/>
      </w: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30" w:name="_Toc25423"/>
      <w:r>
        <w:rPr>
          <w:rFonts w:ascii="方正小标宋简体" w:eastAsia="方正小标宋简体" w:hAnsi="方正小标宋简体" w:cs="方正小标宋简体" w:hint="eastAsia"/>
          <w:b w:val="0"/>
          <w:lang w:val="en-US" w:eastAsia="zh-CN"/>
        </w:rPr>
        <w:t xml:space="preserve">第四部分  名词解释</w:t>
      </w:r>
      <w:bookmarkEnd w:id="30"/>
    </w:p>
    <w:p>
      <w:pPr>
        <w:pStyle w:val="标题1"/>
        <w:spacing w:before="0" w:after="0" w:line="600" w:lineRule="exact"/>
        <w:jc w:val="center"/>
        <w:rPr>
          <w:rFonts w:ascii="方正小标宋简体" w:eastAsia="方正小标宋简体" w:hAnsi="方正小标宋简体" w:cs="方正小标宋简体" w:hint="eastAsia"/>
          <w:b w:val="0"/>
          <w:sz w:val="44"/>
          <w:szCs w:val="44"/>
          <w:highlight w:val="none"/>
        </w:rPr>
      </w:pP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部门决算。是指各部门依据国家有关法律法规规定及其履行职能情况编制，反映部门所有预算收支和结余执行结果及绩效等情况的综合性年度报告，是改进部门预算执行以及编制后续年度部门预算的参考和依据。</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机关运行经费。反映行政单位（含参照公务员管理事业单位）财政拨款基本支出中的公用经费支出，主要为保障行政单位（含参照公务员管理事业单位）运行用于购买货物和服务的各项资金，包括办公费、印刷费、水费、电费、邮电费、取暖费、物业管理费、差旅费、会议费、公务用车运行维护费以及其他费用。</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是指各部门用财政拨款安排的因公出国（境）费、公务用车购置及运行维护费和公务接待费。其中，因公出国（境）费反映单位公务出国（境）的国际旅费、国外城市间交通费、住宿费、伙食费、培训费、公杂费等支出；公务用车购置及运行维护费反映单位公务用车车辆购置支出（含车辆购置税、牌照费）及燃料费、新能源汽车充电费、维修费、过桥过路费、保险费、安全奖励费用等支出；公务接待费反映单位按规定开支的各类公务接待（含外宾接待）支出</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 </w:t>
      </w:r>
    </w:p>
    <w:sectPr>
      <w:type w:val="nextPage"/>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itlePg w:val="0"/>
      <w:textDirection w:val="lrTb"/>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auto"/>
    <w:pitch w:val="default"/>
    <w:sig w:usb0="E0002EFF" w:usb1="C000785B" w:usb2="00000009" w:usb3="00000000" w:csb0="400001FF" w:csb1="FFFF0000"/>
  </w:font>
  <w:font w:name="宋体">
    <w:panose1 w:val="02010600030101010101"/>
    <w:charset w:val="FFFFFF86"/>
    <w:family w:val="auto"/>
    <w:pitch w:val="default"/>
    <w:sig w:usb0="00000203" w:usb1="288F0000" w:usb2="00000006" w:usb3="00000000" w:csb0="00040001" w:csb1="00000000"/>
    <w:embedRegular r:id="rId1" w:subsetted="1" w:fontKey="{3A132669-632A-4809-A7A3-7D7504182FEC}"/>
    <w:embedBold r:id="rId2" w:subsetted="1" w:fontKey="{00A4D2AA-064F-4B43-80BD-E079E9075C47}"/>
  </w:font>
  <w:font w:name="Cambria">
    <w:panose1 w:val="02040503050406030204"/>
    <w:charset w:val="00"/>
    <w:family w:val="roman"/>
    <w:pitch w:val="default"/>
    <w:sig w:usb0="E00006FF" w:usb1="420024FF" w:usb2="02000000" w:usb3="00000000" w:csb0="2000019F" w:csb1="00000000"/>
    <w:embedRegular r:id="rId3" w:fontKey="{23D46698-EFD9-42CC-9CF0-460027B9B735}"/>
  </w:font>
  <w:font w:name="Calibri">
    <w:panose1 w:val="020F0502020204030204"/>
    <w:charset w:val="00"/>
    <w:family w:val="swiss"/>
    <w:pitch w:val="default"/>
    <w:sig w:usb0="E4002EFF" w:usb1="C200247B" w:usb2="00000009" w:usb3="00000000" w:csb0="200001FF" w:csb1="00000000"/>
    <w:embedRegular r:id="rId4" w:fontKey="{9ADCE87B-53A2-42A6-B74D-C3A98565B668}"/>
  </w:font>
  <w:font w:name="黑体">
    <w:panose1 w:val="02010609060101010101"/>
    <w:charset w:val="FFFFFF86"/>
    <w:family w:val="auto"/>
    <w:pitch w:val="default"/>
    <w:sig w:usb0="800002BF" w:usb1="38CF7CFA" w:usb2="00000016" w:usb3="00000000" w:csb0="00040001" w:csb1="00000000"/>
    <w:embedRegular r:id="rId5" w:subsetted="1" w:fontKey="{0416111B-D501-4A09-B6F3-720B13C265C6}"/>
    <w:embedBold r:id="rId6" w:subsetted="1" w:fontKey="{A0280057-E381-4B2E-B036-74D3BDFC7422}"/>
  </w:font>
  <w:font w:name="方正小标宋简体">
    <w:altName w:val="黑体"/>
    <w:panose1 w:val="02000000000000000000"/>
    <w:charset w:val="FFFFFF86"/>
    <w:family w:val="auto"/>
    <w:pitch w:val="default"/>
    <w:sig w:usb0="00000001" w:usb1="08000000" w:usb2="00000000" w:usb3="00000000" w:csb0="00040000" w:csb1="00000000"/>
    <w:embedRegular r:id="rId7" w:fontKey="{BC586C45-0F5E-49D7-83C6-377A4CACC7DF}"/>
    <w:embedBold r:id="rId8" w:fontKey="{D393A554-A120-462B-BBD0-7268E6CEA87B}"/>
  </w:font>
  <w:font w:name="仿宋">
    <w:panose1 w:val="02010609060101010101"/>
    <w:charset w:val="FFFFFF86"/>
    <w:family w:val="auto"/>
    <w:pitch w:val="default"/>
    <w:sig w:usb0="800002BF" w:usb1="38CF7CFA" w:usb2="00000016" w:usb3="00000000" w:csb0="00040001" w:csb1="00000000"/>
    <w:embedRegular r:id="rId9" w:subsetted="1" w:fontKey="{C4F02EAE-14AA-443A-B642-65F5FD8A1FA3}"/>
    <w:embedBold r:id="rId10" w:subsetted="1" w:fontKey="{B379F13A-00DF-49A9-B88F-2DD74BCE3731}"/>
  </w:font>
  <w:font w:name="方正仿宋_GB2312">
    <w:altName w:val="仿宋"/>
    <w:panose1 w:val="02000000000000000000"/>
    <w:charset w:val="FFFFFF86"/>
    <w:family w:val="auto"/>
    <w:pitch w:val="default"/>
    <w:sig w:usb0="A00002BF" w:usb1="184F6CFA" w:usb2="00000012" w:usb3="00000000" w:csb0="00040001" w:csb1="00000000"/>
    <w:embedRegular r:id="rId11" w:fontKey="{6925E20D-F537-473C-8265-3BE1116B2D32}"/>
  </w:font>
  <w:font w:name="仿宋_GB2312">
    <w:altName w:val="仿宋"/>
    <w:panose1 w:val="02010609030101010101"/>
    <w:charset w:val="FFFFFF86"/>
    <w:family w:val="auto"/>
    <w:pitch w:val="default"/>
    <w:sig w:usb0="00000001" w:usb1="080E0000" w:usb2="00000000" w:usb3="00000000" w:csb0="00040000" w:csb1="00000000"/>
    <w:embedRegular r:id="rId12" w:fontKey="{C2EA5632-0722-45AE-965E-BEF4D26E884F}"/>
  </w:font>
  <w:font w:name="方正楷体_GB2312">
    <w:altName w:val="宋体"/>
    <w:panose1 w:val="02000000000000000000"/>
    <w:charset w:val="FFFFFF86"/>
    <w:family w:val="auto"/>
    <w:pitch w:val="default"/>
    <w:sig w:usb0="A00002BF" w:usb1="184F6CFA" w:usb2="00000012" w:usb3="00000000" w:csb0="00040001" w:csb1="00000000"/>
    <w:embedRegular r:id="rId13" w:fontKey="{FEF00B2D-EB6B-492E-9F41-F0ABA1FD3398}"/>
  </w:font>
  <w:font w:name="等线">
    <w:panose1 w:val="02010600030101010101"/>
    <w:charset w:val="FFFFFF86"/>
    <w:family w:val="auto"/>
    <w:pitch w:val="default"/>
    <w:sig w:usb0="A00002BF" w:usb1="38CF7CFA" w:usb2="00000016" w:usb3="00000000" w:csb0="0004000F" w:csb1="00000000"/>
    <w:embedRegular r:id="rId14" w:subsetted="1" w:fontKey="{DD1CC7A7-229B-4D1B-AAB3-E7874D73E04C}"/>
  </w:font>
  <w:font w:name="楷体">
    <w:panose1 w:val="02010609060101010101"/>
    <w:charset w:val="FFFFFF86"/>
    <w:family w:val="decorative"/>
    <w:pitch w:val="default"/>
    <w:sig w:usb0="800002BF" w:usb1="38CF7CFA" w:usb2="00000016" w:usb3="00000000" w:csb0="00040001" w:csb1="00000000"/>
    <w:embedRegular r:id="rId15" w:subsetted="1" w:fontKey="{09FA6BDE-E745-4C6A-B4F1-9C7D0028A457}"/>
    <w:embedBold r:id="rId16" w:subsetted="1" w:fontKey="{4DA71321-9DB0-4802-A36D-D61F0A72D37F}"/>
  </w:font>
  <w:font w:name="Arial">
    <w:charset w:val="00"/>
    <w:family w:val="auto"/>
    <w:pitch w:val="default"/>
  </w:font>
  <w:font w:name="方正仿宋">
    <w:charset w:val="01"/>
    <w:family w:val="auto"/>
    <w:pitch w:val="default"/>
  </w:font>
  <w:font w:name="方正楷体">
    <w:charset w:val="01"/>
    <w:family w:val="auto"/>
    <w:pitch w:val="default"/>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6" o:spid="_x0000_s2049" type="#_x0000_t202" style="width:2in;height:2in;margin-top:0;margin-left:0;mso-position-horizontal:center;mso-position-horizontal-relative:margin;mso-wrap-style:none;position:absolute;v-text-anchor:top;z-index:251658240"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3</w:t>
                </w:r>
                <w:r>
                  <w:fldChar w:fldCharType="end"/>
                </w:r>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7" o:spid="_x0000_s2050" type="#_x0000_t202" style="width:2in;height:2in;margin-top:0;margin-left:0;mso-position-horizontal:center;mso-position-horizontal-relative:margin;mso-wrap-style:none;position:absolute;v-text-anchor:top;z-index:251659264"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5</w:t>
                </w:r>
                <w:r>
                  <w:fldChar w:fldCharType="end"/>
                </w:r>
              </w:p>
            </w:txbxContent>
          </v:textbox>
          <w10:wrap anchorx="margin"/>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8" o:spid="_x0000_s2051" type="#_x0000_t202" style="width:2in;height:2in;margin-top:0;margin-left:0;mso-position-horizontal:center;mso-position-horizontal-relative:margin;mso-wrap-style:none;position:absolute;v-text-anchor:top;z-index:251660288"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24</w:t>
                </w:r>
                <w:r>
                  <w:fldChar w:fldCharType="end"/>
                </w:r>
              </w:p>
            </w:txbxContent>
          </v:textbox>
          <w10:wrap anchorx="margin"/>
        </v:shape>
      </w:pict>
    </w:r>
  </w:p>
</w:ft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TrueTypeFonts/>
  <w:bordersDoNotSurroundFooter w:val="0"/>
  <w:bordersDoNotSurroundHeader w:val="0"/>
  <w:stylePaneFormatFilter w:val="3F01"/>
  <w:doNotTrackMoves/>
  <w:defaultTabStop w:val="420.0"/>
  <w:drawingGridVerticalSpacing w:val="156"/>
  <w:noPunctuationKerning/>
  <w:characterSpacingControl w:val="compressPunctuation"/>
  <w:noLineBreaksAfter w:lang="en-US" w:val="([{·‘“〈《「『【〔〖（．［｛￡￥"/>
  <w:noLineBreaksBefore w:lang="en-US" w:val="!),.:;?]}¨·ˇˉ―‖’”…∶、。〃々〉》」』】〕〗！＂＇），．：；？］｀｜｝～￠"/>
  <w:endnotePr>
    <w:numFmt w:val="decimal"/>
  </w:endnotePr>
  <w:compat>
    <w:spaceForUL/>
    <w:balanceSingleByteDoubleByteWidth/>
    <w:doNotLeaveBackslashAlon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000000"/>
  </w:rsids>
  <w:docVars>
    <w:docVar w:name="commondata" w:val="eyJoZGlkIjoiOTM0ZDdjZmNhMDU3OGRjODI0Y2FhODMxNDQzMzM1NjMifQ=="/>
  </w:docVars>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semiHidden="0"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semiHidden="0" w:uiPriority="39" w:qFormat="1"/>
    <w:lsdException w:name="toc 3" w:semiHidden="0"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unhideWhenUsed="0" w:qFormat="1"/>
    <w:lsdException w:name="header" w:semiHidden="0" w:uiPriority="0"/>
    <w:lsdException w:name="footer" w:semiHidden="0" w:uiPriority="0" w:qFormat="1"/>
    <w:lsdException w:name="caption" w:uiPriority="35" w:qFormat="1"/>
    <w:lsdException w:name="Title" w:semiHidden="0" w:uiPriority="10" w:unhideWhenUsed="0" w:qFormat="1"/>
    <w:lsdException w:name="Default Paragraph Font" w:semiHidden="0" w:uiPriority="0"/>
    <w:lsdException w:name="Body Text Indent" w:semiHidden="0" w:qFormat="1"/>
    <w:lsdException w:name="Subtitle" w:semiHidden="0" w:uiPriority="11" w:unhideWhenUsed="0" w:qFormat="1"/>
    <w:lsdException w:name="Body Text First Indent 2" w:semiHidden="0" w:qFormat="1"/>
    <w:lsdException w:name="Hyperlink" w:semiHidden="0"/>
    <w:lsdException w:name="Strong" w:semiHidden="0" w:uiPriority="22" w:unhideWhenUsed="0" w:qFormat="1"/>
    <w:lsdException w:name="Emphasis" w:semiHidden="0" w:uiPriority="20" w:unhideWhenUsed="0" w:qFormat="1"/>
    <w:lsdException w:name="Normal (Web)" w:semiHidden="0" w:qFormat="1"/>
    <w:lsdException w:name="Normal Table" w:semiHidden="0"/>
    <w:lsdException w:name="Balloon Text" w:semiHidden="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divId w:val="0"/>
      <w:widowControl w:val="0"/>
      <w:adjustRightInd w:val="0"/>
      <w:spacing w:line="360" w:lineRule="atLeast"/>
      <w:textAlignment w:val="baseline"/>
    </w:pPr>
    <w:rPr>
      <w:rFonts w:ascii="Times New Roman" w:eastAsia="宋体" w:hAnsi="Times New Roman" w:cs="Times New Roman"/>
      <w:sz w:val="24"/>
      <w:lang w:val="en-US" w:eastAsia="zh-CN" w:bidi="ar-SA"/>
    </w:rPr>
  </w:style>
  <w:style w:type="paragraph" w:styleId="标题1">
    <w:name w:val="标题 1"/>
    <w:basedOn w:val="Normal"/>
    <w:next w:val="Normal"/>
    <w:link w:val="标题1Char"/>
    <w:uiPriority w:val="9"/>
    <w:qFormat/>
    <w:pPr>
      <w:keepNext/>
      <w:keepLines/>
      <w:spacing w:before="340" w:after="330" w:line="578" w:lineRule="atLeast"/>
      <w:outlineLvl w:val="0"/>
    </w:pPr>
    <w:rPr>
      <w:b/>
      <w:bCs/>
      <w:kern w:val="44.0"/>
      <w:sz w:val="44"/>
      <w:szCs w:val="44"/>
    </w:rPr>
  </w:style>
  <w:style w:type="paragraph" w:styleId="标题2">
    <w:name w:val="标题 2"/>
    <w:basedOn w:val="Normal"/>
    <w:next w:val="Normal"/>
    <w:link w:val="标题2Char"/>
    <w:uiPriority w:val="9"/>
    <w:unhideWhenUsed/>
    <w:qFormat/>
    <w:pPr>
      <w:keepNext/>
      <w:keepLines/>
      <w:spacing w:before="260" w:after="260" w:line="416" w:lineRule="atLeast"/>
      <w:outlineLvl w:val="1"/>
    </w:pPr>
    <w:rPr>
      <w:rFonts w:ascii="Cambria" w:eastAsia="宋体" w:hAnsi="Cambria" w:cs="Times New Roman"/>
      <w:b/>
      <w:bCs/>
      <w:sz w:val="32"/>
      <w:szCs w:val="32"/>
    </w:rPr>
  </w:style>
  <w:style w:type="paragraph" w:styleId="标题3">
    <w:name w:val="标题 3"/>
    <w:basedOn w:val="Normal"/>
    <w:next w:val="Normal"/>
    <w:link w:val="标题3Char"/>
    <w:uiPriority w:val="9"/>
    <w:unhideWhenUsed/>
    <w:qFormat/>
    <w:pPr>
      <w:keepNext/>
      <w:keepLines/>
      <w:spacing w:before="260" w:after="260" w:line="416" w:lineRule="atLeast"/>
      <w:outlineLvl w:val="2"/>
    </w:pPr>
    <w:rPr>
      <w:b/>
      <w:bCs/>
      <w:sz w:val="32"/>
      <w:szCs w:val="32"/>
    </w:rPr>
  </w:style>
  <w:style w:type="character" w:default="1" w:styleId="DefaultParagraphFont">
    <w:name w:val="Default Paragraph Font"/>
    <w:unhideWhenUsed/>
  </w:style>
  <w:style w:type="table" w:styleId="普通表格">
    <w:name w:val="普通表格"/>
    <w:uiPriority w:val="99"/>
    <w:unhideWhenUsed/>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character" w:styleId="标题1Char">
    <w:name w:val="标题 1 Char"/>
    <w:link w:val="标题1"/>
    <w:uiPriority w:val="9"/>
    <w:rPr>
      <w:b/>
      <w:bCs/>
      <w:kern w:val="44.0"/>
      <w:sz w:val="44"/>
      <w:szCs w:val="44"/>
    </w:rPr>
  </w:style>
  <w:style w:type="character" w:styleId="标题2Char">
    <w:name w:val="标题 2 Char"/>
    <w:link w:val="标题2"/>
    <w:uiPriority w:val="9"/>
    <w:semiHidden/>
    <w:rPr>
      <w:rFonts w:ascii="Cambria" w:eastAsia="宋体" w:hAnsi="Cambria" w:cs="Times New Roman"/>
      <w:b/>
      <w:bCs/>
      <w:sz w:val="32"/>
      <w:szCs w:val="32"/>
    </w:rPr>
  </w:style>
  <w:style w:type="character" w:styleId="标题3Char">
    <w:name w:val="标题 3 Char"/>
    <w:link w:val="标题3"/>
    <w:uiPriority w:val="9"/>
    <w:semiHidden/>
    <w:rPr>
      <w:b/>
      <w:bCs/>
      <w:sz w:val="32"/>
      <w:szCs w:val="32"/>
    </w:rPr>
  </w:style>
  <w:style w:type="paragraph" w:styleId="正文文本缩进">
    <w:name w:val="正文文本缩进"/>
    <w:basedOn w:val="Normal"/>
    <w:next w:val="正文首行缩进2"/>
    <w:uiPriority w:val="99"/>
    <w:unhideWhenUsed/>
    <w:qFormat/>
    <w:pPr>
      <w:spacing w:after="120"/>
      <w:ind w:left="420" w:leftChars="200"/>
      <w:jc w:val="left"/>
    </w:pPr>
    <w:rPr>
      <w:rFonts w:ascii="宋体" w:hAnsi="宋体" w:cs="宋体"/>
      <w:kern w:val="0.0"/>
      <w:sz w:val="24"/>
      <w:lang w:val="en-US" w:eastAsia="zh-CN"/>
    </w:rPr>
  </w:style>
  <w:style w:type="paragraph" w:styleId="正文首行缩进2">
    <w:name w:val="正文首行缩进 2"/>
    <w:basedOn w:val="正文文本缩进"/>
    <w:next w:val="Normal"/>
    <w:uiPriority w:val="99"/>
    <w:unhideWhenUsed/>
    <w:qFormat/>
    <w:pPr>
      <w:ind w:left="420" w:firstLine="420" w:firstLineChars="200"/>
      <w:jc w:val="left"/>
    </w:pPr>
    <w:rPr>
      <w:lang w:val="en-US" w:eastAsia="zh-CN"/>
    </w:rPr>
  </w:style>
  <w:style w:type="paragraph" w:styleId="目录3">
    <w:name w:val="目录 3"/>
    <w:basedOn w:val="Normal"/>
    <w:next w:val="Normal"/>
    <w:uiPriority w:val="39"/>
    <w:unhideWhenUsed/>
    <w:qFormat/>
    <w:pPr>
      <w:widowControl/>
      <w:adjustRightInd/>
      <w:spacing w:after="100" w:line="276" w:lineRule="auto"/>
      <w:ind w:left="440"/>
      <w:textAlignment w:val="auto"/>
    </w:pPr>
    <w:rPr>
      <w:rFonts w:ascii="Calibri" w:eastAsia="宋体" w:hAnsi="Calibri" w:cs="Times New Roman"/>
      <w:sz w:val="22"/>
      <w:szCs w:val="22"/>
    </w:rPr>
  </w:style>
  <w:style w:type="paragraph" w:styleId="批注框文本">
    <w:name w:val="批注框文本"/>
    <w:basedOn w:val="Normal"/>
    <w:link w:val="批注框文本Char"/>
    <w:uiPriority w:val="99"/>
    <w:unhideWhenUsed/>
    <w:pPr>
      <w:spacing w:line="240" w:lineRule="auto"/>
    </w:pPr>
    <w:rPr>
      <w:sz w:val="18"/>
      <w:szCs w:val="18"/>
    </w:rPr>
  </w:style>
  <w:style w:type="character" w:styleId="批注框文本Char">
    <w:name w:val="批注框文本 Char"/>
    <w:link w:val="批注框文本"/>
    <w:uiPriority w:val="99"/>
    <w:semiHidden/>
    <w:rPr>
      <w:sz w:val="18"/>
      <w:szCs w:val="18"/>
    </w:rPr>
  </w:style>
  <w:style w:type="paragraph" w:styleId="页脚">
    <w:name w:val="页脚"/>
    <w:basedOn w:val="Normal"/>
    <w:link w:val="页脚Char"/>
    <w:unhideWhenUsed/>
    <w:qFormat/>
    <w:pPr>
      <w:tabs>
        <w:tab w:val="center" w:pos="4153"/>
        <w:tab w:val="right" w:pos="8306"/>
      </w:tabs>
      <w:snapToGrid w:val="0"/>
      <w:spacing w:line="240" w:lineRule="atLeast"/>
    </w:pPr>
    <w:rPr>
      <w:sz w:val="18"/>
      <w:szCs w:val="18"/>
    </w:rPr>
  </w:style>
  <w:style w:type="character" w:styleId="页脚Char">
    <w:name w:val="页脚 Char"/>
    <w:link w:val="页脚"/>
    <w:semiHidden/>
    <w:rPr>
      <w:sz w:val="18"/>
      <w:szCs w:val="18"/>
    </w:rPr>
  </w:style>
  <w:style w:type="paragraph" w:styleId="页眉">
    <w:name w:val="页眉"/>
    <w:basedOn w:val="Normal"/>
    <w:link w:val="页眉Char"/>
    <w:unhideWhenUsed/>
    <w:pPr>
      <w:pBdr>
        <w:bottom w:val="single" w:sz="6" w:space="1" w:color="auto"/>
      </w:pBdr>
      <w:tabs>
        <w:tab w:val="center" w:pos="4153"/>
        <w:tab w:val="right" w:pos="8306"/>
      </w:tabs>
      <w:snapToGrid w:val="0"/>
      <w:spacing w:line="240" w:lineRule="atLeast"/>
      <w:jc w:val="center"/>
    </w:pPr>
    <w:rPr>
      <w:sz w:val="18"/>
      <w:szCs w:val="18"/>
    </w:rPr>
  </w:style>
  <w:style w:type="character" w:styleId="页眉Char">
    <w:name w:val="页眉 Char"/>
    <w:link w:val="页眉"/>
    <w:semiHidden/>
    <w:rPr>
      <w:sz w:val="18"/>
      <w:szCs w:val="18"/>
    </w:rPr>
  </w:style>
  <w:style w:type="paragraph" w:styleId="目录1">
    <w:name w:val="目录 1"/>
    <w:basedOn w:val="Normal"/>
    <w:next w:val="Normal"/>
    <w:uiPriority w:val="39"/>
    <w:unhideWhenUsed/>
    <w:qFormat/>
    <w:pPr>
      <w:widowControl/>
      <w:tabs>
        <w:tab w:val="right" w:leader="dot" w:pos="8296"/>
      </w:tabs>
      <w:adjustRightInd/>
      <w:spacing w:after="100" w:line="276" w:lineRule="auto"/>
      <w:textAlignment w:val="auto"/>
    </w:pPr>
    <w:rPr>
      <w:rFonts w:ascii="黑体" w:eastAsia="黑体" w:hAnsi="黑体" w:cs="方正小标宋简体"/>
      <w:sz w:val="22"/>
      <w:szCs w:val="22"/>
    </w:rPr>
  </w:style>
  <w:style w:type="paragraph" w:styleId="脚注文本">
    <w:name w:val="脚注文本"/>
    <w:basedOn w:val="Normal"/>
    <w:next w:val="正文首行缩进2"/>
    <w:semiHidden/>
    <w:qFormat/>
    <w:pPr>
      <w:snapToGrid w:val="0"/>
      <w:jc w:val="left"/>
    </w:pPr>
    <w:rPr>
      <w:sz w:val="18"/>
      <w:szCs w:val="18"/>
      <w:lang w:val="en-US" w:eastAsia="zh-CN"/>
    </w:rPr>
  </w:style>
  <w:style w:type="paragraph" w:styleId="目录2">
    <w:name w:val="目录 2"/>
    <w:basedOn w:val="Normal"/>
    <w:next w:val="Normal"/>
    <w:uiPriority w:val="39"/>
    <w:unhideWhenUsed/>
    <w:qFormat/>
    <w:pPr>
      <w:widowControl/>
      <w:adjustRightInd/>
      <w:spacing w:after="100" w:line="276" w:lineRule="auto"/>
      <w:ind w:left="220"/>
      <w:textAlignment w:val="auto"/>
    </w:pPr>
    <w:rPr>
      <w:rFonts w:ascii="Calibri" w:eastAsia="宋体" w:hAnsi="Calibri" w:cs="Times New Roman"/>
      <w:sz w:val="22"/>
      <w:szCs w:val="22"/>
    </w:rPr>
  </w:style>
  <w:style w:type="paragraph" w:styleId="普通(网站)">
    <w:name w:val="普通(网站)"/>
    <w:basedOn w:val="Normal"/>
    <w:uiPriority w:val="99"/>
    <w:unhideWhenUsed/>
    <w:qFormat/>
    <w:rPr>
      <w:sz w:val="24"/>
    </w:rPr>
  </w:style>
  <w:style w:type="character" w:styleId="Hyperlink">
    <w:name w:val="超链接"/>
    <w:uiPriority w:val="99"/>
    <w:unhideWhenUsed/>
    <w:rPr>
      <w:color w:val="0000FF"/>
      <w:u w:val="single"/>
    </w:rPr>
  </w:style>
  <w:style w:type="paragraph" w:styleId="TOC标题">
    <w:name w:val="TOC 标题"/>
    <w:basedOn w:val="标题1"/>
    <w:next w:val="Normal"/>
    <w:uiPriority w:val="39"/>
    <w:unhideWhenUsed/>
    <w:qFormat/>
    <w:pPr>
      <w:widowControl/>
      <w:adjustRightInd/>
      <w:spacing w:before="480" w:after="0" w:line="276" w:lineRule="auto"/>
      <w:textAlignment w:val="auto"/>
      <w:outlineLvl w:val="9"/>
    </w:pPr>
    <w:rPr>
      <w:rFonts w:ascii="Cambria" w:eastAsia="宋体" w:hAnsi="Cambria" w:cs="Times New Roman"/>
      <w:color w:val="365F91"/>
      <w:kern w:val="0.0"/>
      <w:sz w:val="28"/>
      <w:szCs w:val="28"/>
    </w:rPr>
  </w:style>
  <w:style w:type="character" w:styleId="font41">
    <w:name w:val="font41"/>
    <w:basedOn w:val="DefaultParagraphFont"/>
    <w:qFormat/>
    <w:rPr>
      <w:rFonts w:ascii="宋体" w:eastAsia="宋体" w:hAnsi="宋体" w:cs="宋体" w:hint="eastAsia"/>
      <w:color w:val="000000"/>
      <w:sz w:val="20"/>
      <w:szCs w:val="20"/>
      <w:u w:val="none"/>
    </w:rPr>
  </w:style>
  <w:style w:type="character" w:styleId="font11">
    <w:name w:val="font11"/>
    <w:basedOn w:val="DefaultParagraphFont"/>
    <w:qFormat/>
    <w:rPr>
      <w:rFonts w:ascii="宋体" w:eastAsia="宋体" w:hAnsi="宋体" w:cs="宋体" w:hint="eastAsia"/>
      <w:color w:val="000000"/>
      <w:sz w:val="22"/>
      <w:szCs w:val="22"/>
      <w:u w:val="none"/>
    </w:rPr>
  </w:style>
  <w:style w:type="table" w:styleId="普通表格1">
    <w:name w:val="普通表格1"/>
    <w:uiPriority w:val="99"/>
    <w:unhideWhenUsed/>
    <w:tblPr>
      <w:tblCellMar>
        <w:top w:w="0" w:type="dxa"/>
        <w:left w:w="108" w:type="dxa"/>
        <w:bottom w:w="0" w:type="dxa"/>
        <w:right w:w="108" w:type="dxa"/>
      </w:tblCellMar>
    </w:tblPr>
  </w:style>
  <w:style w:type="table" w:default="1" w:styleId="NormalTable">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NormalTabl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r="http://schemas.openxmlformats.org/officeDocument/2006/relationships" xmlns:w="http://schemas.openxmlformats.org/wordprocessingml/2006/main"/>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ntTable" Target="fontTable.xml" /><Relationship Id="rId2" Type="http://schemas.openxmlformats.org/officeDocument/2006/relationships/webSettings" Target="webSettings.xml" /><Relationship Id="rId3" Type="http://schemas.openxmlformats.org/officeDocument/2006/relationships/customXml" Target="../customXml/item1.xml" /><Relationship Id="rId4" Type="http://schemas.openxmlformats.org/officeDocument/2006/relationships/footer" Target="footer1.xml" /><Relationship Id="rId5" Type="http://schemas.openxmlformats.org/officeDocument/2006/relationships/footer" Target="footer2.xml" /><Relationship Id="rId6" Type="http://schemas.openxmlformats.org/officeDocument/2006/relationships/footer" Target="footer3.xml" /><Relationship Id="rId7" Type="http://schemas.openxmlformats.org/officeDocument/2006/relationships/footer" Target="footer4.xml" /><Relationship Id="rId8" Type="http://schemas.openxmlformats.org/officeDocument/2006/relationships/theme" Target="theme/theme1.xml" /><Relationship Id="rId9" Type="http://schemas.openxmlformats.org/officeDocument/2006/relationships/styles" Target="styles.xml" /></Relationships>
</file>

<file path=word/_rels/fontTable.xml.rels>&#65279;<?xml version="1.0" encoding="utf-8" standalone="yes"?><Relationships xmlns="http://schemas.openxmlformats.org/package/2006/relationships"><Relationship Id="rId1" Type="http://schemas.openxmlformats.org/officeDocument/2006/relationships/font" Target="fonts/font0.odttf" /><Relationship Id="rId10" Type="http://schemas.openxmlformats.org/officeDocument/2006/relationships/font" Target="fonts/font9.odttf" /><Relationship Id="rId11" Type="http://schemas.openxmlformats.org/officeDocument/2006/relationships/font" Target="fonts/font10.odttf" /><Relationship Id="rId12" Type="http://schemas.openxmlformats.org/officeDocument/2006/relationships/font" Target="fonts/font11.odttf" /><Relationship Id="rId13" Type="http://schemas.openxmlformats.org/officeDocument/2006/relationships/font" Target="fonts/font12.odttf" /><Relationship Id="rId14" Type="http://schemas.openxmlformats.org/officeDocument/2006/relationships/font" Target="fonts/font13.odttf" /><Relationship Id="rId15" Type="http://schemas.openxmlformats.org/officeDocument/2006/relationships/font" Target="fonts/font14.odttf" /><Relationship Id="rId16" Type="http://schemas.openxmlformats.org/officeDocument/2006/relationships/font" Target="fonts/font15.odttf" /><Relationship Id="rId2" Type="http://schemas.openxmlformats.org/officeDocument/2006/relationships/font" Target="fonts/font1.odttf" /><Relationship Id="rId3" Type="http://schemas.openxmlformats.org/officeDocument/2006/relationships/font" Target="fonts/font2.odttf" /><Relationship Id="rId4" Type="http://schemas.openxmlformats.org/officeDocument/2006/relationships/font" Target="fonts/font3.odttf" /><Relationship Id="rId5" Type="http://schemas.openxmlformats.org/officeDocument/2006/relationships/font" Target="fonts/font4.odttf" /><Relationship Id="rId6" Type="http://schemas.openxmlformats.org/officeDocument/2006/relationships/font" Target="fonts/font5.odttf" /><Relationship Id="rId7" Type="http://schemas.openxmlformats.org/officeDocument/2006/relationships/font" Target="fonts/font6.odttf" /><Relationship Id="rId8" Type="http://schemas.openxmlformats.org/officeDocument/2006/relationships/font" Target="fonts/font7.odttf" /><Relationship Id="rId9" Type="http://schemas.openxmlformats.org/officeDocument/2006/relationships/font" Target="fonts/font8.odtt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56AC4530C9F84103A2590DEF3D491900_13</vt:lpwstr>
  </property>
  <property fmtid="{D5CDD505-2E9C-101B-9397-08002B2CF9AE}" pid="4" name="KSOTemplateDocerSaveRecord">
    <vt:lpwstr>eyJoZGlkIjoiMGMwOGFkMDkyMGVjOWVjMzc0YjBmOTUwNDI2MGMxYmMiLCJ1c2VySWQiOiI4ODc2NjQ3MTcifQ_x003D__x003D_</vt:lpwstr>
  </property>
</Properties>
</file>

<file path=customXml/itemProps1.xml><?xml version="1.0" encoding="utf-8"?>
<ds:datastoreItem xmlns:ds="http://schemas.openxmlformats.org/officeDocument/2006/customXml" ds:itemID="">
  <ds:schemaRefs/>
</ds:datastoreItem>
</file>

<file path=docProps/app.xml><?xml version="1.0" encoding="utf-8"?>
<Properties xmlns:vt="http://schemas.openxmlformats.org/officeDocument/2006/docPropsVTypes" xmlns="http://schemas.openxmlformats.org/officeDocument/2006/extended-properties">
  <Template>Normal.dot</Template>
  <Pages>27</Pages>
  <Words>1361</Words>
  <Characters>4504</Characters>
  <Application>WPS Office_12.1.0.26895_F1E327BC-269C-435d-A152-05C5408002CA</Application>
  <DocSecurity>0</DocSecurity>
  <Lines>60</Lines>
  <Paragraphs>16</Paragraphs>
  <ScaleCrop>false</ScaleCrop>
  <Company>Microsoft</Company>
  <LinksUpToDate>false</LinksUpToDate>
  <CharactersWithSpaces>4622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附件1</dc:title>
  <dc:creator>Administrator</dc:creator>
  <cp:lastModifiedBy>听鸣</cp:lastModifiedBy>
  <cp:revision>1</cp:revision>
  <cp:lastPrinted>2025-06-25T07:52:17Z</cp:lastPrinted>
  <dcterms:created xsi:type="dcterms:W3CDTF">2019-07-27T18:37:00Z</dcterms:created>
  <dcterms:modified xsi:type="dcterms:W3CDTF">2026-08-05T06:13:04Z</dcterms:modified>
</cp:coreProperties>
</file>

<file path=docProps/custom.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56AC4530C9F84103A2590DEF3D491900_13</vt:lpwstr>
  </property>
  <property fmtid="{D5CDD505-2E9C-101B-9397-08002B2CF9AE}" pid="4" name="KSOTemplateDocerSaveRecord">
    <vt:lpwstr>eyJoZGlkIjoiMGMwOGFkMDkyMGVjOWVjMzc0YjBmOTUwNDI2MGMxYmMiLCJ1c2VySWQiOiI4ODc2NjQ3MTcifQ_x003D__x003D_</vt:lpwstr>
  </property>
</Properties>
</file>