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天津市西青区重点业余体育学校</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天津市西青区重点业余体育学校是我区唯一一所公办的承担青少年竞技体育后备人才培养的九年义务教育学校。本年度已组织完成棒球、柔道、武术等项目的业余训练，促进各项目的发展及运动员的管理，后备人才的储备</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天津市西青区重点业余体育学校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天津市西青区重点业余体育学校</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10877216.75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10877216.75</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10877216.75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10877216.75</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10877216.75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10877216.75</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天津市西青区重点业余体育学校</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10877216.75</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10877216.75</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10877216.75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10877216.75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10877216.75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10877216.75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2059999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10877216.75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10877216.75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天津市西青区重点业余体育学校</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10877216.75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10877216.75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10877216.75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330224</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天津市西青区重点业余体育学校</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10877216.75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10877216.75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10877216.75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天津市西青区重点业余体育学校</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330224</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天津市西青区重点业余体育学校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天津市西青区重点业余体育学校</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10877216.75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10827216.75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10827216.75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10827216.75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10827216.75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天津市西青区重点业余体育学校</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10877216.75</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10877216.75</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10877216.75</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天津市西青区重点业余体育学校</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10827216.75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10419523.01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407693.74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50000.00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10827216.75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10419523.01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407693.74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50000.00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10827216.75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10419523.01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407693.74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50000.00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2059999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10877216.75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10827216.75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10419523.01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407693.74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50000.00</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天津市西青区重点业余体育学校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9980224.41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390435.74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2385035.43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3377.30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17258.00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928351.83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336900.00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17258.00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4043.40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2388969.95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704371.20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352185.60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462244.44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77452.38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3788.00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30816.96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2362824.00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1145.00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28525.00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439298.60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37592.06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306427.80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58495.80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50530.00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114204.00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62000.00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23800.00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58833.60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10419523.01</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407693.74</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天津市西青区重点业余体育学校</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天津市西青区重点业余体育学校2025年度政府性基金预算财政拨款收入支出决算表为空表。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天津市西青区重点业余体育学校</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天津市西青区重点业余体育学校2025年度国有资本经营预算财政拨款收入支出决算表为空表。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天津市西青区重点业余体育学校</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天津市西青区重点业余体育学校2025年财政拨款“三公”经费支出决算表为空表。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天津市西青区重点业余体育学校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50000.00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50000.00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业余体校专项业务费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10,877,216.75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增加365,937.32元，增长3.48%</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人员经费收支增加</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一般公共预算财政拨款收入10,877,216.75元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教育支出10,877,216.75元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天津市西青区重点业余体育学校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10,877,216.75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增加365,937.32元，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人员经费收支增加</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一般公共预算财政拨款收入10,877,216.75元，占100.00%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天津市西青区重点业余体育学校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10,877,216.75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增加365,937.32元，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人员经费收支增加</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基本支出10,827,216.75元，占99.54%；项目支出50,000.00元，占0.46%</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10,877,216.75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增加365,937.32元，增长3.48%，</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人员经费收支增加</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一般公共预算财政拨款10,877,216.75元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教育支出10,877,216.75元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天津市西青区重点业余体育学校2025年度一般公共预算财政拨款支出合计10,877,216.75元，占本年支出合计的100.00%。与2024年度相比，一般公共预算财政拨款支出</w:t>
      </w:r>
      <w:r>
        <w:rPr>
          <w:rFonts w:eastAsia="仿宋_GB2312" w:hint="eastAsia"/>
          <w:sz w:val="30"/>
          <w:szCs w:val="30"/>
          <w:highlight w:val="none"/>
          <w:lang w:val="en-US" w:eastAsia="zh-CN"/>
        </w:rPr>
        <w:t xml:space="preserve">增加365,937.32元</w:t>
      </w:r>
      <w:r>
        <w:rPr>
          <w:rFonts w:eastAsia="仿宋_GB2312" w:hint="eastAsia"/>
          <w:sz w:val="30"/>
          <w:szCs w:val="30"/>
          <w:highlight w:val="none"/>
          <w:lang w:val="en-US" w:eastAsia="zh-CN"/>
        </w:rPr>
        <w:t xml:space="preserve">，增长3.48%</w:t>
      </w:r>
      <w:r>
        <w:rPr>
          <w:rFonts w:eastAsia="仿宋_GB2312" w:hint="eastAsia"/>
          <w:sz w:val="30"/>
          <w:szCs w:val="30"/>
          <w:highlight w:val="none"/>
          <w:lang w:val="en-US" w:eastAsia="zh-CN"/>
        </w:rPr>
        <w:t xml:space="preserve">，主要原因是人员经费收支增加。</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2025年度一般公共预算财政拨款支出10,877,216.75元，主要用于以下方面：</w:t>
      </w:r>
      <w:r>
        <w:rPr>
          <w:rFonts w:eastAsia="仿宋_GB2312" w:hint="eastAsia"/>
          <w:sz w:val="30"/>
          <w:szCs w:val="30"/>
          <w:highlight w:val="none"/>
        </w:rPr>
        <w:t xml:space="preserve">教育支出（类）支出10,877,216.75元，占100.00%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2025年度一般公共预算财政拨款支出年初预算为10,036,310.76元，支出决算为10,877,216.75元</w:t>
      </w:r>
      <w:r>
        <w:rPr>
          <w:rFonts w:eastAsia="仿宋_GB2312" w:hint="eastAsia"/>
          <w:sz w:val="30"/>
          <w:szCs w:val="30"/>
          <w:highlight w:val="none"/>
          <w:lang w:val="en-US" w:eastAsia="zh-CN"/>
        </w:rPr>
        <w:t xml:space="preserve">，完成年初预算的108.38%</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其他教育支出（款）其他教育支出（项）年初预算为10,036,310.76元，支出决算为10,877,216.75元，完成年初预算的108.38%，决算数大于年初预算数的主要原因是：年度内人员发生动态调整，人员经费增加。</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天津市西青区重点业余体育学校2025年度一般公共预算财政拨款基本支出合计10,827,216.75元，与2024年度相比</w:t>
      </w:r>
      <w:r>
        <w:rPr>
          <w:rFonts w:eastAsia="仿宋_GB2312" w:hint="eastAsia"/>
          <w:sz w:val="30"/>
          <w:szCs w:val="30"/>
          <w:highlight w:val="none"/>
          <w:lang w:val="en-US" w:eastAsia="zh-CN"/>
        </w:rPr>
        <w:t xml:space="preserve">增加428,777.52元，</w:t>
      </w:r>
      <w:r>
        <w:rPr>
          <w:rFonts w:eastAsia="仿宋_GB2312" w:hint="eastAsia"/>
          <w:sz w:val="30"/>
          <w:szCs w:val="30"/>
          <w:highlight w:val="none"/>
          <w:lang w:val="en-US" w:eastAsia="zh-CN"/>
        </w:rPr>
        <w:t xml:space="preserve">主要原因是人员经费收支增加。</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人员经费10,419,523.01元，主要包括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抚恤金、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公用经费407,693.74元，主要包括</w:t>
      </w:r>
      <w:r>
        <w:rPr>
          <w:rFonts w:eastAsia="仿宋_GB2312" w:hint="eastAsia"/>
          <w:sz w:val="30"/>
          <w:szCs w:val="30"/>
          <w:highlight w:val="none"/>
          <w:lang w:val="en-US" w:eastAsia="zh-CN"/>
        </w:rPr>
        <w:t xml:space="preserve">办公费、水费、电费、邮电费、物业管理费、差旅费、维修(护)费、培训费、工会经费、福利费、其他商品和服务支出、办公设备购置</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决算数与预算数持平的主要原因是本年度未用财政拨款列支“三公”经费；</w:t>
      </w:r>
      <w:r>
        <w:rPr>
          <w:rFonts w:eastAsia="仿宋_GB2312" w:hint="eastAsia"/>
          <w:sz w:val="30"/>
          <w:szCs w:val="30"/>
          <w:highlight w:val="none"/>
          <w:lang w:val="en-US" w:eastAsia="zh-CN"/>
        </w:rPr>
        <w:t xml:space="preserve">决算数较上年持平的主要原因是本年度未用财政拨款列支“三公”经费。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决算数与预算数持平的主要原因是本年度未用财政拨款列支因公出国（境）费；</w:t>
      </w:r>
      <w:r>
        <w:rPr>
          <w:rFonts w:eastAsia="仿宋_GB2312" w:hint="eastAsia"/>
          <w:sz w:val="30"/>
          <w:szCs w:val="30"/>
          <w:highlight w:val="none"/>
          <w:lang w:val="en-US" w:eastAsia="zh-CN"/>
        </w:rPr>
        <w:t xml:space="preserve">决算数较上年持平的主要原因是本年度未用财政拨款列支因公出国（境）费。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决算数与预算数持平的主要原因是本年度未用财政拨款列支公务用车购置及运行维护费；</w:t>
      </w:r>
      <w:r>
        <w:rPr>
          <w:rFonts w:eastAsia="仿宋_GB2312" w:hint="eastAsia"/>
          <w:sz w:val="30"/>
          <w:szCs w:val="30"/>
          <w:highlight w:val="none"/>
          <w:lang w:val="en-US" w:eastAsia="zh-CN"/>
        </w:rPr>
        <w:t xml:space="preserve">决算数较上年持平的主要原因是本年度未用财政拨款列支公务用车购置及运行维护费。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决算数与预算数持平的主要原因是本年度未用财政拨款列支公务用车运行维护费；</w:t>
      </w:r>
      <w:r>
        <w:rPr>
          <w:rFonts w:eastAsia="仿宋_GB2312" w:hint="eastAsia"/>
          <w:sz w:val="30"/>
          <w:szCs w:val="30"/>
          <w:highlight w:val="none"/>
          <w:lang w:val="en-US" w:eastAsia="zh-CN"/>
        </w:rPr>
        <w:t xml:space="preserve">决算数较上年持平的主要原因是本年度未用财政拨款列支公务用车运行维护费。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决算数与预算数持平的主要原因是本年度未用财政拨款列支公务用车购置费；</w:t>
      </w:r>
      <w:r>
        <w:rPr>
          <w:rFonts w:eastAsia="仿宋_GB2312" w:hint="eastAsia"/>
          <w:sz w:val="30"/>
          <w:szCs w:val="30"/>
          <w:highlight w:val="none"/>
          <w:lang w:val="en-US" w:eastAsia="zh-CN"/>
        </w:rPr>
        <w:t xml:space="preserve">决算数较上年持平的主要原因是本年度未用财政拨款列支公务用车购置费。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决算数与预算数持平的主要原因是本年度未用财政拨款列支公务接待费；</w:t>
      </w:r>
      <w:r>
        <w:rPr>
          <w:rFonts w:eastAsia="仿宋_GB2312" w:hint="eastAsia"/>
          <w:sz w:val="30"/>
          <w:szCs w:val="30"/>
          <w:highlight w:val="none"/>
          <w:lang w:val="en-US" w:eastAsia="zh-CN"/>
        </w:rPr>
        <w:t xml:space="preserve">决算数较上年持平的主要原因是本年度未用财政拨款列支公务接待费。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2025年政府采购支出总额17,258.00元，其中：政府采购货物支出17,258.00元、政府采购工程支出0.00元、政府采购服务支出0.00元。授予中小企业合同金额17,258.00元，占政府采购支出总额的100.00%，其中：授予小微企业合同金额17,258.00元，占政府采购支出总额的100.00%；货物采购授予中小企业合同金额占货物支出金额的100.00%，工程采购授予中小企业合同金额占工程支出金额的0.00%，服务采购授予中小企业合同金额占服务支出金额的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天津市西青区重点业余体育学校2025年度无国有资产占有使用情况。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根据预算绩效管理要求，天津市西青区重点业余体育学校已对1个2025年度项目开展绩效自评，涉及金额50,000.00元，自评结果已随部门决算一并公开。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天津市西青区重点业余体育学校不属于乡、镇、街级单位，不涉及公开2025年度教育、医疗卫生、社会保障和就业、住房保障、涉农补贴等民生支出情况。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488985A8-C140-4F93-BD7E-DC127898EB26}"/>
    <w:embedBold r:id="rId2" w:subsetted="1" w:fontKey="{D97C18D7-C627-4CB1-B7DE-15138C1324CC}"/>
  </w:font>
  <w:font w:name="Cambria">
    <w:panose1 w:val="02040503050406030204"/>
    <w:charset w:val="00"/>
    <w:family w:val="roman"/>
    <w:pitch w:val="default"/>
    <w:sig w:usb0="E00006FF" w:usb1="420024FF" w:usb2="02000000" w:usb3="00000000" w:csb0="2000019F" w:csb1="00000000"/>
    <w:embedRegular r:id="rId3" w:fontKey="{833D309D-42A2-43E1-BE64-321C445B9828}"/>
  </w:font>
  <w:font w:name="Calibri">
    <w:panose1 w:val="020F0502020204030204"/>
    <w:charset w:val="00"/>
    <w:family w:val="swiss"/>
    <w:pitch w:val="default"/>
    <w:sig w:usb0="E4002EFF" w:usb1="C200247B" w:usb2="00000009" w:usb3="00000000" w:csb0="200001FF" w:csb1="00000000"/>
    <w:embedRegular r:id="rId4" w:fontKey="{19D7BEFA-9765-4ED7-9A71-B1021EA92CF9}"/>
  </w:font>
  <w:font w:name="黑体">
    <w:panose1 w:val="02010609060101010101"/>
    <w:charset w:val="FFFFFF86"/>
    <w:family w:val="auto"/>
    <w:pitch w:val="default"/>
    <w:sig w:usb0="800002BF" w:usb1="38CF7CFA" w:usb2="00000016" w:usb3="00000000" w:csb0="00040001" w:csb1="00000000"/>
    <w:embedRegular r:id="rId5" w:subsetted="1" w:fontKey="{1A5A0AE2-F44D-40AB-B492-7542B7A34A30}"/>
    <w:embedBold r:id="rId6" w:subsetted="1" w:fontKey="{C18234AA-8017-4736-BB5A-715029BAD1A2}"/>
  </w:font>
  <w:font w:name="方正小标宋简体">
    <w:altName w:val="黑体"/>
    <w:panose1 w:val="02000000000000000000"/>
    <w:charset w:val="FFFFFF86"/>
    <w:family w:val="auto"/>
    <w:pitch w:val="default"/>
    <w:sig w:usb0="00000001" w:usb1="08000000" w:usb2="00000000" w:usb3="00000000" w:csb0="00040000" w:csb1="00000000"/>
    <w:embedRegular r:id="rId7" w:fontKey="{59C5A6A3-52D6-41C1-A7FC-ED9B1B282215}"/>
    <w:embedBold r:id="rId8" w:fontKey="{B45354F6-B57A-4726-9D5C-CE4D83EB93B3}"/>
  </w:font>
  <w:font w:name="仿宋">
    <w:panose1 w:val="02010609060101010101"/>
    <w:charset w:val="FFFFFF86"/>
    <w:family w:val="auto"/>
    <w:pitch w:val="default"/>
    <w:sig w:usb0="800002BF" w:usb1="38CF7CFA" w:usb2="00000016" w:usb3="00000000" w:csb0="00040001" w:csb1="00000000"/>
    <w:embedRegular r:id="rId9" w:subsetted="1" w:fontKey="{5951325C-D98C-40EF-9E0C-A663B5381290}"/>
    <w:embedBold r:id="rId10" w:subsetted="1" w:fontKey="{E4C3E154-A572-4F60-B38E-88F4B13969F3}"/>
  </w:font>
  <w:font w:name="方正仿宋_GB2312">
    <w:altName w:val="仿宋"/>
    <w:panose1 w:val="02000000000000000000"/>
    <w:charset w:val="FFFFFF86"/>
    <w:family w:val="auto"/>
    <w:pitch w:val="default"/>
    <w:sig w:usb0="A00002BF" w:usb1="184F6CFA" w:usb2="00000012" w:usb3="00000000" w:csb0="00040001" w:csb1="00000000"/>
    <w:embedRegular r:id="rId11" w:fontKey="{096B3BEF-F937-4E28-950E-203893187631}"/>
  </w:font>
  <w:font w:name="仿宋_GB2312">
    <w:altName w:val="仿宋"/>
    <w:panose1 w:val="02010609030101010101"/>
    <w:charset w:val="FFFFFF86"/>
    <w:family w:val="auto"/>
    <w:pitch w:val="default"/>
    <w:sig w:usb0="00000001" w:usb1="080E0000" w:usb2="00000000" w:usb3="00000000" w:csb0="00040000" w:csb1="00000000"/>
    <w:embedRegular r:id="rId12" w:fontKey="{E7B2C9F1-3525-4D3D-A9F1-DC4BDFACD32A}"/>
  </w:font>
  <w:font w:name="方正楷体_GB2312">
    <w:altName w:val="宋体"/>
    <w:panose1 w:val="02000000000000000000"/>
    <w:charset w:val="FFFFFF86"/>
    <w:family w:val="auto"/>
    <w:pitch w:val="default"/>
    <w:sig w:usb0="A00002BF" w:usb1="184F6CFA" w:usb2="00000012" w:usb3="00000000" w:csb0="00040001" w:csb1="00000000"/>
    <w:embedRegular r:id="rId13" w:fontKey="{70950CF2-C159-498E-8C39-9E1F155F1B99}"/>
  </w:font>
  <w:font w:name="等线">
    <w:panose1 w:val="02010600030101010101"/>
    <w:charset w:val="FFFFFF86"/>
    <w:family w:val="auto"/>
    <w:pitch w:val="default"/>
    <w:sig w:usb0="A00002BF" w:usb1="38CF7CFA" w:usb2="00000016" w:usb3="00000000" w:csb0="0004000F" w:csb1="00000000"/>
    <w:embedRegular r:id="rId14" w:subsetted="1" w:fontKey="{2E614C31-03D8-4291-8A40-E51F9F15A15E}"/>
  </w:font>
  <w:font w:name="楷体">
    <w:panose1 w:val="02010609060101010101"/>
    <w:charset w:val="FFFFFF86"/>
    <w:family w:val="decorative"/>
    <w:pitch w:val="default"/>
    <w:sig w:usb0="800002BF" w:usb1="38CF7CFA" w:usb2="00000016" w:usb3="00000000" w:csb0="00040001" w:csb1="00000000"/>
    <w:embedRegular r:id="rId15" w:subsetted="1" w:fontKey="{71DDCEAB-7131-437F-A2C5-F235BA5D5F91}"/>
    <w:embedBold r:id="rId16" w:subsetted="1" w:fontKey="{A52B55C1-C402-4021-97D9-DA60D40862A7}"/>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6</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25</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28</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