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天津西青开放大学</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天津西青开放大学</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以“服务全民学习”为宗旨，以建设具有天津特色的开放大学为目标，坚持学历教育、非学历教育和终身学习服务协调发展的高等学校，不断满足天津经济社会发展和市民学习需求，努力成为天津终身教育体系和学习型城市建设的重要载体和支撑</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天津西青开放大学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单位本级（内设4个职能科室）。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天津西青开放大学</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16284561.86</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16284561.86</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16284561.86</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16284561.86</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16284561.86</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16284561.86</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天津西青开放大学</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16284561.86</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16284561.86</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16284561.86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16284561.86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19000.00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19000.00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其他普通教育支出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19000.00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19000.00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20504</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成人教育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16265561.86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16265561.86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2050404</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成人广播电视教育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16265561.86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16265561.86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天津西青开放大学</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16284561.86</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16284561.86</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16284561.86</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330227</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天津西青开放大学</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16284561.86</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16284561.86</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16284561.86</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天津西青开放大学</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330227</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天津西青开放大学</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天津西青开放大学</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16284561.86</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15700174.55</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584387.31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16284561.86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15700174.55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584387.31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19000.00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19000.00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19000.00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19000.00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20504</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成人教育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16265561.86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15700174.55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565387.31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2050404</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成人广播电视教育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16265561.86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15700174.55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565387.31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天津西青开放大学</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16284561.86</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16284561.86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16284561.86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16284561.86</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16284561.86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16284561.86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16284561.86</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16284561.86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16284561.86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天津西青开放大学</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16284561.86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15700174.55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14525766.06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1174408.49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584387.31</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16284561.86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15700174.55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14525766.06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1174408.49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584387.31</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19000.00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19000.00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19000.00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19000.00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成人教育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16265561.86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15700174.55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14525766.06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1174408.49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565387.31</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2050404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成人广播电视教育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16265561.86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15700174.55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14525766.06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1174408.49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565387.31</w:t>
            </w: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天津西青开放大学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14094698.39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1174408.49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3511855.05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30431.50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1086132.40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491100.00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1439.44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3490.95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3446403.00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68206.50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990120.30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4167.00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495028.80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77600.00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650310.45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473040.00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17036.00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49690.81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3333636.00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40421.58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431067.67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5820.00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346462.80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31902.00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168726.00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40000.00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9942.10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52642.87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274509.00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14525766.06</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1174408.49</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天津西青开放大学</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天津西青开放大学2025年度政府性基金预算财政拨款收入支出决算表为空表。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天津西青开放大学</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天津西青开放大学2025年度国有资本经营预算财政拨款收入支出决算表为空表。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天津西青开放大学</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天津西青开放大学2025年财政拨款“三公”经费支出决算表为空表。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天津西青开放大学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584387.31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584387.31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584387.31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584387.31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19000.00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19000.00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19000.00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19000.00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举办全民终身学习活动周经费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19000.00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19000.00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成人教育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565387.31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565387.31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2050404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成人广播电视教育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565387.31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565387.31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2050404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社区教育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131462.52</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131462.52</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2050404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上交考试费用和外聘教师课程费等费用</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288480.15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288480.15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2050404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老年大学</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124062.11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124062.11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2050404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社区教育经费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21382.53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21382.53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天津西青开放大学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16,284,561.86</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减少984,032.65元，下降5.70%</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较上年度人员减少，并且响应过紧日子号召，压减公用经费和项目经费支出</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一般公共预算财政拨款收入16,284,561.86元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教育支出16,284,561.86元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天津西青开放大学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16,284,561.86</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减少984,032.65元，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较上年度人员减少，并且响应过紧日子号召，压减公用经费和项目经费支出</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一般公共预算财政拨款收入16,284,561.86元，占100.00%</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天津西青开放大学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16,284,561.86</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减少984,032.65元，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较上年度人员减少，并且响应过紧日子号召，压减公用经费和项目经费支出</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基本支出15,700,174.55元，占96.41%；项目支出584,387.31元，占3.59%</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天津西青开放大学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16,284,561.86</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减少984,032.65元，下降5.70%，</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较上年度人员减少，并且响应过紧日子号召，压减公用经费和项目经费支出</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一般公共预算财政拨款16,284,561.86元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教育支出16,284,561.86元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天津西青开放大学2025年度一般公共预算财政拨款支出合计16,284,561.86元，占本年支出合计的100.00%。与2024年度相比，一般公共预算财政拨款支出</w:t>
      </w:r>
      <w:r>
        <w:rPr>
          <w:rFonts w:eastAsia="仿宋_GB2312" w:hint="eastAsia"/>
          <w:sz w:val="30"/>
          <w:szCs w:val="30"/>
          <w:highlight w:val="none"/>
          <w:lang w:val="en-US" w:eastAsia="zh-CN"/>
        </w:rPr>
        <w:t xml:space="preserve">减少984,032.65元</w:t>
      </w:r>
      <w:r>
        <w:rPr>
          <w:rFonts w:eastAsia="仿宋_GB2312" w:hint="eastAsia"/>
          <w:sz w:val="30"/>
          <w:szCs w:val="30"/>
          <w:highlight w:val="none"/>
          <w:lang w:val="en-US" w:eastAsia="zh-CN"/>
        </w:rPr>
        <w:t xml:space="preserve">,下降5.70%</w:t>
      </w:r>
      <w:r>
        <w:rPr>
          <w:rFonts w:eastAsia="仿宋_GB2312" w:hint="eastAsia"/>
          <w:sz w:val="30"/>
          <w:szCs w:val="30"/>
          <w:highlight w:val="none"/>
          <w:lang w:val="en-US" w:eastAsia="zh-CN"/>
        </w:rPr>
        <w:t xml:space="preserve">，主要原因是较上年度人员减少，并且响应过紧日子号召，压减公用经费和项目经费支出。</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2025年度一般公共预算财政拨款支出16,284,561.86元，主要用于以下方面：</w:t>
      </w:r>
      <w:r>
        <w:rPr>
          <w:rFonts w:eastAsia="仿宋_GB2312" w:hint="eastAsia"/>
          <w:sz w:val="30"/>
          <w:szCs w:val="30"/>
          <w:highlight w:val="none"/>
        </w:rPr>
        <w:t xml:space="preserve">教育支出（类）支出16,284,561.86元，占100.00%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2025年度一般公共预算财政拨款支出年初预算为16,280,744.93元，支出决算为16,284,561.86元</w:t>
      </w:r>
      <w:r>
        <w:rPr>
          <w:rFonts w:eastAsia="仿宋_GB2312" w:hint="eastAsia"/>
          <w:sz w:val="30"/>
          <w:szCs w:val="30"/>
          <w:highlight w:val="none"/>
          <w:lang w:val="en-US" w:eastAsia="zh-CN"/>
        </w:rPr>
        <w:t xml:space="preserve">，完成年初预算的100.02%</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其他普通教育支出（项）年初预算为19,000.00元，支出决算为19,000.00元，完成年初预算的100.00%，决算数与年初预算数持平的主要原因是：本年度收支严格按年初预算执行，收入足额达标、支出规范管控，无增减调整，最终决算与预算数额持平。</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教育支出（类）成人教育（款）成人广播电视教育（项）年初预算为16,261,744.93元，支出决算为16,265,561.86元，完成年初预算的100.02%，决算数大于年初预算数的主要原因是：年中人员变动，经费相应调整，致使决算数超出年初预算。</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天津西青开放大学2025年度一般公共预算财政拨款基本支出合计15,700,174.55元，与2024年度相比</w:t>
      </w:r>
      <w:r>
        <w:rPr>
          <w:rFonts w:eastAsia="仿宋_GB2312" w:hint="eastAsia"/>
          <w:sz w:val="30"/>
          <w:szCs w:val="30"/>
          <w:highlight w:val="none"/>
          <w:lang w:val="en-US" w:eastAsia="zh-CN"/>
        </w:rPr>
        <w:t xml:space="preserve">减少295,443.28元，</w:t>
      </w:r>
      <w:r>
        <w:rPr>
          <w:rFonts w:eastAsia="仿宋_GB2312" w:hint="eastAsia"/>
          <w:sz w:val="30"/>
          <w:szCs w:val="30"/>
          <w:highlight w:val="none"/>
          <w:lang w:val="en-US" w:eastAsia="zh-CN"/>
        </w:rPr>
        <w:t xml:space="preserve">主要原因是较上年度人员减少，并且响应过紧日子号召，压减公用经费。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人员经费14,525,766.06元，主要包括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退休费、医疗费补助、奖励金、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公用经费1,174,408.49元，主要包括</w:t>
      </w:r>
      <w:r>
        <w:rPr>
          <w:rFonts w:eastAsia="仿宋_GB2312" w:hint="eastAsia"/>
          <w:sz w:val="30"/>
          <w:szCs w:val="30"/>
          <w:highlight w:val="none"/>
          <w:lang w:val="en-US" w:eastAsia="zh-CN"/>
        </w:rPr>
        <w:t xml:space="preserve">办公费、手续费、水费、电费、邮电费、取暖费、物业管理费、差旅费、培训费、工会经费、福利费、其他交通费用、其他商品和服务支出</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天津西青开放大学2025年度无政府性基金预算财政拨款收入、支出和结转结余。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天津西青开放大学2025年度无国有资本经营预算财政拨款收入、支出和结转结余。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决算数与预算数持平的主要原因是本年度未用财政拨款经费列支“三公”经费；</w:t>
      </w:r>
      <w:r>
        <w:rPr>
          <w:rFonts w:eastAsia="仿宋_GB2312" w:hint="eastAsia"/>
          <w:sz w:val="30"/>
          <w:szCs w:val="30"/>
          <w:highlight w:val="none"/>
          <w:lang w:val="en-US" w:eastAsia="zh-CN"/>
        </w:rPr>
        <w:t xml:space="preserve">决算数较上年持平的主要原因是本年度未用财政拨款经费列支“三公”经费。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决算数与预算数持平的主要原因是本年度未用财政拨款经费列支因公出国（境）费；</w:t>
      </w:r>
      <w:r>
        <w:rPr>
          <w:rFonts w:eastAsia="仿宋_GB2312" w:hint="eastAsia"/>
          <w:sz w:val="30"/>
          <w:szCs w:val="30"/>
          <w:highlight w:val="none"/>
          <w:lang w:val="en-US" w:eastAsia="zh-CN"/>
        </w:rPr>
        <w:t xml:space="preserve">决算数较上年持平的主要原因是本年度未用财政拨款经费列支因公出国（境）费。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决算数与预算数持平的主要原因是本年度未用财政拨款经费列支公务用车购置及运行维护费；</w:t>
      </w:r>
      <w:r>
        <w:rPr>
          <w:rFonts w:eastAsia="仿宋_GB2312" w:hint="eastAsia"/>
          <w:sz w:val="30"/>
          <w:szCs w:val="30"/>
          <w:highlight w:val="none"/>
          <w:lang w:val="en-US" w:eastAsia="zh-CN"/>
        </w:rPr>
        <w:t xml:space="preserve">决算数较上年持平的主要原因是本年度未用财政拨款经费列支公务用车购置及运行维护费。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决算数与预算数持平的主要原因是本年度未用财政拨款经费列支公务用车运行维护费；</w:t>
      </w:r>
      <w:r>
        <w:rPr>
          <w:rFonts w:eastAsia="仿宋_GB2312" w:hint="eastAsia"/>
          <w:sz w:val="30"/>
          <w:szCs w:val="30"/>
          <w:highlight w:val="none"/>
          <w:lang w:val="en-US" w:eastAsia="zh-CN"/>
        </w:rPr>
        <w:t xml:space="preserve">决算数较上年持平的主要原因是本年度未用财政拨款经费列支公务用车运行维护费。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决算数与预算数持平的主要原因是本年度未用财政拨款经费列支公务用车购置费；</w:t>
      </w:r>
      <w:r>
        <w:rPr>
          <w:rFonts w:eastAsia="仿宋_GB2312" w:hint="eastAsia"/>
          <w:sz w:val="30"/>
          <w:szCs w:val="30"/>
          <w:highlight w:val="none"/>
          <w:lang w:val="en-US" w:eastAsia="zh-CN"/>
        </w:rPr>
        <w:t xml:space="preserve">决算数较上年持平的主要原因是本年度未用财政拨款经费列支公务用车购置费。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决算数与预算数持平的主要原因是本年度未用财政拨款经费列支公务接待费；</w:t>
      </w:r>
      <w:r>
        <w:rPr>
          <w:rFonts w:eastAsia="仿宋_GB2312" w:hint="eastAsia"/>
          <w:sz w:val="30"/>
          <w:szCs w:val="30"/>
          <w:highlight w:val="none"/>
          <w:lang w:val="en-US" w:eastAsia="zh-CN"/>
        </w:rPr>
        <w:t xml:space="preserve">决算数较上年持平的主要原因是本年度未用财政拨款经费列支公务接待费。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天津西青开放大学2025年度无机关运行经费。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西青开放大学2025年政府采购支出总额2,566,515.68元，其中：政府采购货物支出9,950.00元、政府采购工程支出0.00元、政府采购服务支出2,556,565.68元。授予中小企业合同金额2,566,515.68元，占政府采购支出总额的100.00%，其中：授予小微企业合同金额2,566,515.68元，占政府采购支出总额的100.00%；货物采购授予中小企业合同金额占货物支出金额的100.00%，工程采购授予中小企业合同金额占工程支出金额的0.00%，服务采购授予中小企业合同金额占服务支出金额的100.00%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天津西青开放大学2025年度无国有资产占有使用情况。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根据预算绩效管理要求，天津西青开放大学已对4个2025年度项目开展绩效自评，涉及金额584,387.31元，自评结果已随部门决算一并公开。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天津西青开放大学不属于乡、镇、街级单位，不涉及公开2025年度教育、医疗卫生、社会保障和就业、住房保障、涉农补贴等民生支出情况。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2E12E640-0A99-46A2-9AEE-715EE09C5511}"/>
    <w:embedBold r:id="rId2" w:subsetted="1" w:fontKey="{BFC442B1-AFBF-41BF-8B42-2A3682B7A542}"/>
  </w:font>
  <w:font w:name="Cambria">
    <w:panose1 w:val="02040503050406030204"/>
    <w:charset w:val="00"/>
    <w:family w:val="roman"/>
    <w:pitch w:val="default"/>
    <w:sig w:usb0="E00006FF" w:usb1="420024FF" w:usb2="02000000" w:usb3="00000000" w:csb0="2000019F" w:csb1="00000000"/>
    <w:embedRegular r:id="rId3" w:fontKey="{30E63D73-2F49-4FF2-9FA6-B6C038E420F9}"/>
  </w:font>
  <w:font w:name="Calibri">
    <w:panose1 w:val="020F0502020204030204"/>
    <w:charset w:val="00"/>
    <w:family w:val="swiss"/>
    <w:pitch w:val="default"/>
    <w:sig w:usb0="E4002EFF" w:usb1="C200247B" w:usb2="00000009" w:usb3="00000000" w:csb0="200001FF" w:csb1="00000000"/>
    <w:embedRegular r:id="rId4" w:fontKey="{54972094-0520-4FC9-9986-4479316B0395}"/>
  </w:font>
  <w:font w:name="黑体">
    <w:panose1 w:val="02010609060101010101"/>
    <w:charset w:val="FFFFFF86"/>
    <w:family w:val="auto"/>
    <w:pitch w:val="default"/>
    <w:sig w:usb0="800002BF" w:usb1="38CF7CFA" w:usb2="00000016" w:usb3="00000000" w:csb0="00040001" w:csb1="00000000"/>
    <w:embedRegular r:id="rId5" w:subsetted="1" w:fontKey="{E233D11A-6CE5-4026-AA09-DF86A89E4877}"/>
    <w:embedBold r:id="rId6" w:subsetted="1" w:fontKey="{B26830A1-A558-4BF6-AF09-54C4CB738810}"/>
  </w:font>
  <w:font w:name="方正小标宋简体">
    <w:altName w:val="黑体"/>
    <w:panose1 w:val="02000000000000000000"/>
    <w:charset w:val="FFFFFF86"/>
    <w:family w:val="auto"/>
    <w:pitch w:val="default"/>
    <w:sig w:usb0="00000001" w:usb1="08000000" w:usb2="00000000" w:usb3="00000000" w:csb0="00040000" w:csb1="00000000"/>
    <w:embedRegular r:id="rId7" w:fontKey="{A14A1A0B-A908-4D3B-B843-C3E326845999}"/>
    <w:embedBold r:id="rId8" w:fontKey="{7A75E0CA-7FFD-4E57-81CA-FB3F5DDBE574}"/>
  </w:font>
  <w:font w:name="仿宋">
    <w:panose1 w:val="02010609060101010101"/>
    <w:charset w:val="FFFFFF86"/>
    <w:family w:val="auto"/>
    <w:pitch w:val="default"/>
    <w:sig w:usb0="800002BF" w:usb1="38CF7CFA" w:usb2="00000016" w:usb3="00000000" w:csb0="00040001" w:csb1="00000000"/>
    <w:embedRegular r:id="rId9" w:subsetted="1" w:fontKey="{89BC3818-DA27-4377-A775-ACB41BFF3A2A}"/>
    <w:embedBold r:id="rId10" w:subsetted="1" w:fontKey="{B3B47954-E3D2-40B0-9D26-F6AA8A4C23BF}"/>
  </w:font>
  <w:font w:name="方正仿宋_GB2312">
    <w:altName w:val="仿宋"/>
    <w:panose1 w:val="02000000000000000000"/>
    <w:charset w:val="FFFFFF86"/>
    <w:family w:val="auto"/>
    <w:pitch w:val="default"/>
    <w:sig w:usb0="A00002BF" w:usb1="184F6CFA" w:usb2="00000012" w:usb3="00000000" w:csb0="00040001" w:csb1="00000000"/>
    <w:embedRegular r:id="rId11" w:fontKey="{0335DA07-E022-48DB-B6D4-F0BAA4340A11}"/>
  </w:font>
  <w:font w:name="仿宋_GB2312">
    <w:altName w:val="仿宋"/>
    <w:panose1 w:val="02010609030101010101"/>
    <w:charset w:val="FFFFFF86"/>
    <w:family w:val="auto"/>
    <w:pitch w:val="default"/>
    <w:sig w:usb0="00000001" w:usb1="080E0000" w:usb2="00000000" w:usb3="00000000" w:csb0="00040000" w:csb1="00000000"/>
    <w:embedRegular r:id="rId12" w:fontKey="{A76C84F0-315E-4F4A-BCC8-B4D1D6D16B99}"/>
  </w:font>
  <w:font w:name="方正楷体_GB2312">
    <w:altName w:val="宋体"/>
    <w:panose1 w:val="02000000000000000000"/>
    <w:charset w:val="FFFFFF86"/>
    <w:family w:val="auto"/>
    <w:pitch w:val="default"/>
    <w:sig w:usb0="A00002BF" w:usb1="184F6CFA" w:usb2="00000012" w:usb3="00000000" w:csb0="00040001" w:csb1="00000000"/>
    <w:embedRegular r:id="rId13" w:fontKey="{41CA4CBD-7075-4DA2-A034-9E3472BF60BA}"/>
  </w:font>
  <w:font w:name="等线">
    <w:panose1 w:val="02010600030101010101"/>
    <w:charset w:val="FFFFFF86"/>
    <w:family w:val="auto"/>
    <w:pitch w:val="default"/>
    <w:sig w:usb0="A00002BF" w:usb1="38CF7CFA" w:usb2="00000016" w:usb3="00000000" w:csb0="0004000F" w:csb1="00000000"/>
    <w:embedRegular r:id="rId14" w:subsetted="1" w:fontKey="{E87B305C-2372-4896-877E-3137EF2A618D}"/>
  </w:font>
  <w:font w:name="楷体">
    <w:panose1 w:val="02010609060101010101"/>
    <w:charset w:val="FFFFFF86"/>
    <w:family w:val="decorative"/>
    <w:pitch w:val="default"/>
    <w:sig w:usb0="800002BF" w:usb1="38CF7CFA" w:usb2="00000016" w:usb3="00000000" w:csb0="00040001" w:csb1="00000000"/>
    <w:embedRegular r:id="rId15" w:subsetted="1" w:fontKey="{C2F35436-01DB-4EAC-960E-9EB67325D7A4}"/>
    <w:embedBold r:id="rId16" w:subsetted="1" w:fontKey="{193A6AC3-D33C-48A1-829C-C7BAC582F48F}"/>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5</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25</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16" Type="http://schemas.openxmlformats.org/officeDocument/2006/relationships/font" Target="fonts/font15.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28</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