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天津市西青区杨柳青第四中学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实施初中义务教育、高中学历教育，促进基础教育发展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天津市西青区杨柳青第四中学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38676987.26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39525739.57</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8146.69</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856899.00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39533886.26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39533886.26</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39533886.26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39533886.26</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39533886.26</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38676987.26</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856899.00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39525739.57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38668840.57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856899.00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39525739.57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38668840.57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856899.00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22247626.01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21390727.01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856899.00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17212473.56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17212473.56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65640.00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65640.00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社会保障和就业支出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行政事业单位养老支出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2080506</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机关事业单位职业年金缴费支出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8146.69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天津市西青区杨柳青第四中学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39533886.26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39533886.26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38676987.26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856899.00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330216</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天津市西青区杨柳青第四中学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39533886.26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39533886.26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38676987.26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856899.00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天津市西青区杨柳青第四中学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330216</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天津市西青区杨柳青第四中学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39533886.26</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38641975.39</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39525739.57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38633828.70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39525739.57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38633828.70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22247626.01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21357781.14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889844.87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17212473.56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17210407.56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65640.00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65640.00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行政事业单位养老支出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2080506</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机关事业单位职业年金缴费支出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38668840.57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38668840.57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38676987.26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38676987.26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天津市西青区杨柳青第四中学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38676987.26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37785076.39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35442920.03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2342156.36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891910.87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38668840.57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37776929.70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35434773.34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2342156.36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891910.87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38668840.57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37776929.70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35434773.34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2342156.36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891910.87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21390727.01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20500882.14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19778755.47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722126.67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889844.87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17212473.56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17210407.56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15590377.87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1620029.69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65640.00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65640.00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65640.00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行政事业单位养老支出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2080506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机关事业单位职业年金缴费支出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8146.69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34660773.53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2297533.36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8195306.30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44623.00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3171039.80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1122200.00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1875.00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44623.00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17697.07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8433572.79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112927.44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2423471.36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1219882.37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249002.88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1603101.43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447000.00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10571.00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128780.48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8270509.00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673738.00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92910.00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782146.50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8449.12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499478.50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4659.06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65640.00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9808.00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13927.52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16072.48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51345.00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210962.00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24880.00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155600.00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499971.79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35442920.03</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2342156.36</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天津市西青区杨柳青第四中学2025年度政府性基金预算财政拨款收入支出决算表为空表。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天津市西青区杨柳青第四中学2025年度国有资本经营预算财政拨款收入支出决算表为空表。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天津市西青区杨柳青第四中学2025年财政拨款“三公”经费支出决算表为空表。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天津市西青区杨柳青第四中学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891910.87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891910.87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891910.87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889844.87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889844.87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889844.87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889844.87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1446.00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1446.00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39,533,886.26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减少1,713,360.55元，下降4.15%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一般公共预算财政拨款收入38,676,987.26元、其他收入856,899.00元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教育支出39,525,739.57元、社会保障和就业支出8,146.69元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39,533,886.26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减少1,713,360.55元，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一般公共预算财政拨款收入38,676,987.26元，占97.83%；其他收入856,899.00元，占2.17%</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39,533,886.26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减少1,713,360.55元，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基本支出38,641,975.39元，占97.74%；项目支出891,910.87元，占2.26%</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38,676,987.26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减少1,870,910.05元，下降4.61%，</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一般公共预算财政拨款38,676,987.26元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教育支出38,668,840.57元、社会保障和就业支出8,146.69元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天津市西青区杨柳青第四中学2025年度一般公共预算财政拨款支出合计38,676,987.26元，占本年支出合计的97.83%。与2024年度相比，一般公共预算财政拨款支出</w:t>
      </w:r>
      <w:r>
        <w:rPr>
          <w:rFonts w:eastAsia="仿宋_GB2312" w:hint="eastAsia"/>
          <w:sz w:val="30"/>
          <w:szCs w:val="30"/>
          <w:highlight w:val="none"/>
          <w:lang w:val="en-US" w:eastAsia="zh-CN"/>
        </w:rPr>
        <w:t xml:space="preserve">减少1,870,910.05元</w:t>
      </w:r>
      <w:r>
        <w:rPr>
          <w:rFonts w:eastAsia="仿宋_GB2312" w:hint="eastAsia"/>
          <w:sz w:val="30"/>
          <w:szCs w:val="30"/>
          <w:highlight w:val="none"/>
          <w:lang w:val="en-US" w:eastAsia="zh-CN"/>
        </w:rPr>
        <w:t xml:space="preserve">,下降4.61%</w:t>
      </w:r>
      <w:r>
        <w:rPr>
          <w:rFonts w:eastAsia="仿宋_GB2312" w:hint="eastAsia"/>
          <w:sz w:val="30"/>
          <w:szCs w:val="30"/>
          <w:highlight w:val="none"/>
          <w:lang w:val="en-US" w:eastAsia="zh-CN"/>
        </w:rPr>
        <w:t xml:space="preserve">，主要原因是落实过紧日子精神，压减项目经费和公用经费。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2025年度一般公共预算财政拨款支出38,676,987.26元，主要用于以下方面：</w:t>
      </w:r>
      <w:r>
        <w:rPr>
          <w:rFonts w:eastAsia="仿宋_GB2312" w:hint="eastAsia"/>
          <w:sz w:val="30"/>
          <w:szCs w:val="30"/>
          <w:highlight w:val="none"/>
        </w:rPr>
        <w:t xml:space="preserve">教育支出（类）支出38,668,840.57元，占99.98%，社会保障和就业支出（类）支出8,146.69元，占0.02%</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2025年度一般公共预算财政拨款支出年初预算为36,007,327.88元，支出决算为38,676,987.26元</w:t>
      </w:r>
      <w:r>
        <w:rPr>
          <w:rFonts w:eastAsia="仿宋_GB2312" w:hint="eastAsia"/>
          <w:sz w:val="30"/>
          <w:szCs w:val="30"/>
          <w:highlight w:val="none"/>
          <w:lang w:val="en-US" w:eastAsia="zh-CN"/>
        </w:rPr>
        <w:t xml:space="preserve">，完成年初预算的107.41%</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1.教育支出（类）普通教育（款）初中教育（项）年初预算为18,846,753.28元，支出决算为21,390,727.01元，完成年初预算的113.50%，决算数大于年初预算数的主要原因是：本年度有调入及非义务转义务教师，调整预算。</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2.教育支出（类）普通教育（款）高中教育（项）年初预算为17,140,574.60元，支出决算为17,212,473.56元，完成年初预算的100.42%，决算数大于年初预算数的主要原因是：本年度有义务转非义务教师，调整预算。</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3.教育支出（类）普通教育（款）其他普通教育支出（项）年初预算为0.00元，支出决算为65,640.00元，决算数大于年初预算数的主要原因是：退休人员死亡，调整预算增加抚恤金。</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4.教育支出（类）特殊教育（款）特殊学校教育（项）年初预算为20,000.00元，支出决算为0.00元，决算数小于年初预算数的主要原因是：落实过紧日子精神，压减支出。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5.社会保障和就业支出（类）行政事业单位养老支出（款）机关事业单位职业年金缴费支出（项）年初预算为0.00元，支出决算为8,146.69元，决算数大于年初预算数的主要原因是：追加预算，用于支付以前年度职业年金。</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天津市西青区杨柳青第四中学2025年度一般公共预算财政拨款基本支出合计37,785,076.39元，与2024年度相比</w:t>
      </w:r>
      <w:r>
        <w:rPr>
          <w:rFonts w:eastAsia="仿宋_GB2312" w:hint="eastAsia"/>
          <w:sz w:val="30"/>
          <w:szCs w:val="30"/>
          <w:highlight w:val="none"/>
          <w:lang w:val="en-US" w:eastAsia="zh-CN"/>
        </w:rPr>
        <w:t xml:space="preserve">减少967,142.82元，</w:t>
      </w:r>
      <w:r>
        <w:rPr>
          <w:rFonts w:eastAsia="仿宋_GB2312" w:hint="eastAsia"/>
          <w:sz w:val="30"/>
          <w:szCs w:val="30"/>
          <w:highlight w:val="none"/>
          <w:lang w:val="en-US" w:eastAsia="zh-CN"/>
        </w:rPr>
        <w:t xml:space="preserve">主要原因是落实过紧日子精神，压减公用经费支出。</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人员经费35,442,920.03元，主要包括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公用经费2,342,156.36元，主要包括</w:t>
      </w:r>
      <w:r>
        <w:rPr>
          <w:rFonts w:eastAsia="仿宋_GB2312" w:hint="eastAsia"/>
          <w:sz w:val="30"/>
          <w:szCs w:val="30"/>
          <w:highlight w:val="none"/>
          <w:lang w:val="en-US" w:eastAsia="zh-CN"/>
        </w:rPr>
        <w:t xml:space="preserve">手续费、水费、电费、邮电费、取暖费、物业管理费、差旅费、维修(护)费、培训费、专用材料费、劳务费、委托业务费、工会经费、其他交通费用、其他商品和服务支出、办公设备购置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政府采购支出总额1,779,775.59元，其中：政府采购货物支出0.00元、政府采购工程支出0.00元、政府采购服务支出1,779,775.59元。授予中小企业合同金额1,779,775.59元，占政府采购支出总额的100.00%，其中：授予小微企业合同金额1,779,775.59元，占政府采购支出总额的100.00%；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天津市西青区杨柳青第四中学2025年度无国有资产占有使用情况。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根据预算绩效管理要求，天津市西青区杨柳青第四中学已对3个2025年度项目开展绩效自评，涉及金额891,910.87元，自评结果已随部门决算一并公开。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天津市西青区杨柳青第四中学不属于乡、镇、街级单位，不涉及公开2025年度教育、医疗卫生、社会保障和就业、住房保障、涉农补贴等民生支出情况。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0DBBFC75-B826-4427-A008-781F4F3DA7B1}"/>
    <w:embedBold r:id="rId2" w:subsetted="1" w:fontKey="{2C619F12-1F7C-4E3C-8782-D7959D98BCBA}"/>
  </w:font>
  <w:font w:name="Cambria">
    <w:panose1 w:val="02040503050406030204"/>
    <w:charset w:val="00"/>
    <w:family w:val="roman"/>
    <w:pitch w:val="default"/>
    <w:sig w:usb0="E00006FF" w:usb1="420024FF" w:usb2="02000000" w:usb3="00000000" w:csb0="2000019F" w:csb1="00000000"/>
    <w:embedRegular r:id="rId3" w:fontKey="{849780DA-EAFE-4E99-879B-63B97F428520}"/>
  </w:font>
  <w:font w:name="Calibri">
    <w:panose1 w:val="020F0502020204030204"/>
    <w:charset w:val="00"/>
    <w:family w:val="swiss"/>
    <w:pitch w:val="default"/>
    <w:sig w:usb0="E4002EFF" w:usb1="C200247B" w:usb2="00000009" w:usb3="00000000" w:csb0="200001FF" w:csb1="00000000"/>
    <w:embedRegular r:id="rId4" w:fontKey="{46E4F62B-7DC1-47AF-A1CF-2817A34CE918}"/>
  </w:font>
  <w:font w:name="黑体">
    <w:panose1 w:val="02010609060101010101"/>
    <w:charset w:val="FFFFFF86"/>
    <w:family w:val="auto"/>
    <w:pitch w:val="default"/>
    <w:sig w:usb0="800002BF" w:usb1="38CF7CFA" w:usb2="00000016" w:usb3="00000000" w:csb0="00040001" w:csb1="00000000"/>
    <w:embedRegular r:id="rId5" w:subsetted="1" w:fontKey="{C7CBA5F4-0FA9-4730-91BF-73CCF38FCDF1}"/>
    <w:embedBold r:id="rId6" w:subsetted="1" w:fontKey="{1AF09312-143C-438D-A850-99C3974DA26B}"/>
  </w:font>
  <w:font w:name="方正小标宋简体">
    <w:altName w:val="黑体"/>
    <w:panose1 w:val="02000000000000000000"/>
    <w:charset w:val="FFFFFF86"/>
    <w:family w:val="auto"/>
    <w:pitch w:val="default"/>
    <w:sig w:usb0="00000001" w:usb1="08000000" w:usb2="00000000" w:usb3="00000000" w:csb0="00040000" w:csb1="00000000"/>
    <w:embedRegular r:id="rId7" w:fontKey="{9BA11619-ABDC-409B-AB84-109672D75FAA}"/>
    <w:embedBold r:id="rId8" w:fontKey="{7864823F-8989-44DA-8399-EFF8AE8A640C}"/>
  </w:font>
  <w:font w:name="仿宋">
    <w:panose1 w:val="02010609060101010101"/>
    <w:charset w:val="FFFFFF86"/>
    <w:family w:val="auto"/>
    <w:pitch w:val="default"/>
    <w:sig w:usb0="800002BF" w:usb1="38CF7CFA" w:usb2="00000016" w:usb3="00000000" w:csb0="00040001" w:csb1="00000000"/>
    <w:embedRegular r:id="rId9" w:subsetted="1" w:fontKey="{3374DFAE-138F-4A3E-9074-468FA7DDACD6}"/>
    <w:embedBold r:id="rId10" w:subsetted="1" w:fontKey="{FF4C5A95-7E5D-4F44-A86E-22AF3C0FC4D8}"/>
  </w:font>
  <w:font w:name="方正仿宋_GB2312">
    <w:altName w:val="仿宋"/>
    <w:panose1 w:val="02000000000000000000"/>
    <w:charset w:val="FFFFFF86"/>
    <w:family w:val="auto"/>
    <w:pitch w:val="default"/>
    <w:sig w:usb0="A00002BF" w:usb1="184F6CFA" w:usb2="00000012" w:usb3="00000000" w:csb0="00040001" w:csb1="00000000"/>
    <w:embedRegular r:id="rId11" w:fontKey="{73E2C342-8C70-4447-BD4E-7508DAF22589}"/>
  </w:font>
  <w:font w:name="仿宋_GB2312">
    <w:altName w:val="仿宋"/>
    <w:panose1 w:val="02010609030101010101"/>
    <w:charset w:val="FFFFFF86"/>
    <w:family w:val="auto"/>
    <w:pitch w:val="default"/>
    <w:sig w:usb0="00000001" w:usb1="080E0000" w:usb2="00000000" w:usb3="00000000" w:csb0="00040000" w:csb1="00000000"/>
    <w:embedRegular r:id="rId12" w:fontKey="{9215F77C-D561-4D87-8B48-0EF64A7103D4}"/>
  </w:font>
  <w:font w:name="方正楷体_GB2312">
    <w:altName w:val="宋体"/>
    <w:panose1 w:val="02000000000000000000"/>
    <w:charset w:val="FFFFFF86"/>
    <w:family w:val="auto"/>
    <w:pitch w:val="default"/>
    <w:sig w:usb0="A00002BF" w:usb1="184F6CFA" w:usb2="00000012" w:usb3="00000000" w:csb0="00040001" w:csb1="00000000"/>
    <w:embedRegular r:id="rId13" w:fontKey="{F963D02D-A05D-4E3C-81B3-3E77681A5A52}"/>
  </w:font>
  <w:font w:name="等线">
    <w:panose1 w:val="02010600030101010101"/>
    <w:charset w:val="FFFFFF86"/>
    <w:family w:val="auto"/>
    <w:pitch w:val="default"/>
    <w:sig w:usb0="A00002BF" w:usb1="38CF7CFA" w:usb2="00000016" w:usb3="00000000" w:csb0="0004000F" w:csb1="00000000"/>
    <w:embedRegular r:id="rId14" w:subsetted="1" w:fontKey="{67019ADF-FF4B-4976-8FEE-9E8C6855C057}"/>
  </w:font>
  <w:font w:name="楷体">
    <w:panose1 w:val="02010609060101010101"/>
    <w:charset w:val="FFFFFF86"/>
    <w:family w:val="decorative"/>
    <w:pitch w:val="default"/>
    <w:sig w:usb0="800002BF" w:usb1="38CF7CFA" w:usb2="00000016" w:usb3="00000000" w:csb0="00040001" w:csb1="00000000"/>
    <w:embedRegular r:id="rId15" w:subsetted="1" w:fontKey="{F87F83FC-AA12-4E4E-A2C8-E67B841A82DB}"/>
    <w:embedBold r:id="rId16" w:subsetted="1" w:fontKey="{25236525-ED16-4F7E-8C26-A7B28CFA680F}"/>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6</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27</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30</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