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天津市西青区张家窝中学</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天津市西青区张家窝中学</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实施初中义务教育、高中学历教育，促进基础教育发展</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天津市西青区张家窝中学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单位本级（内设5个职能科室）。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天津市西青区张家窝中学</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77694250.48</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81027971.75</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3333721.27</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81027971.75</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81027971.75</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81027971.75</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81027971.75</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天津市西青区张家窝中学</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81027971.75</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77694250.48</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3333721.27</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81027971.75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77694250.48</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3333721.27</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普通教育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81027971.75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77694250.48</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3333721.27</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2050203</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初中教育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54202205.08</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50868483.81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3333721.27</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2050204</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高中教育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26695106.67</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26695106.67</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2050299</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其他普通教育支出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130660.00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130660.00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天津市西青区张家窝中学</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81027971.75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81027971.75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77694250.48</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3333721.27</w:t>
            </w: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330214</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天津市西青区张家窝中学</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81027971.75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81027971.75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77694250.48</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3333721.27</w:t>
            </w: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天津市西青区张家窝中学</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330214</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天津市西青区张家窝中学</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天津市西青区张家窝中学</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81027971.75</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75817702.15</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r>
              <w:rPr>
                <w:rFonts w:ascii="宋体" w:eastAsia="宋体" w:hAnsi="宋体" w:cs="宋体" w:hint="eastAsia"/>
                <w:kern w:val="0.0"/>
                <w:sz w:val="20"/>
                <w:szCs w:val="20"/>
                <w:lang w:val="en-US" w:eastAsia="zh-CN"/>
              </w:rPr>
              <w:t xml:space="preserve">5210269.60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81027971.75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75817702.15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5210269.60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81027971.75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75817702.15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5210269.60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54202205.08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49005031.48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5197173.60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高中教育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26695106.67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26692010.67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3096.00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130660.00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120660.00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天津市西青区张家窝中学</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77694250.48</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77694250.48</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77694250.48</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77694250.48</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77694250.48</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77694250.48</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77694250.48</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77694250.48</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77694250.48</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天津市西青区张家窝中学</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77694250.48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72483980.88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69801241.56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2682739.32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5210269.60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77694250.48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72483980.88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69801241.56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2682739.32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5210269.60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77694250.48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72483980.88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69801241.56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2682739.32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5210269.60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50868483.81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45671310.21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44014610.21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1656700.00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5197173.60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高中教育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26695106.67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26692010.67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25665971.35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1026039.32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3096.00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130660.00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120660.00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120660.00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10000.00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20507</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特殊教育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2050701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特殊学校教育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天津市西青区张家窝中学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68513368.54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2682739.32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16045402.80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269920.00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6386860.33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2225100.00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200000.00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17035049.52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513830.44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4756998.29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2378290.56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166406.00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3121730.79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1092744.00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208128.25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16170803.00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185005.00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1287873.02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18408.88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904578.20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120660.00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40278.88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54605.00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352430.00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69000.00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167350.94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69801241.56</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2682739.32</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天津市西青区张家窝中学</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天津市西青区张家窝中学2025年度政府性基金预算财政拨款收入支出决算表为空表。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天津市西青区张家窝中学</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天津市西青区张家窝中学2025年度国有资本经营预算财政拨款收入支出决算表为空表。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天津市西青区张家窝中学</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天津市西青区张家窝中学2025年财政拨款“三公”经费支出决算表为空表。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天津市西青区张家窝中学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5210269.60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5210269.60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5210269.60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5210269.60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5210269.60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5210269.60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5197173.60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5197173.60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教育系统综合业务费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2268973.60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2268973.60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张家窝中学校舍楼地面整改工程</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2928200.00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2928200.00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高中教育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3096.00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3096.00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2025年学生资助政策体系（高中免学杂费）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928.00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928.00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2025年学生资助政策体系（高中免学杂费）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2168.00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2168.00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人才发展专项资金（人才强区十五条-“三杰”培育项目）</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天津市西青区张家窝中学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81,027,971.75</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减少2,876,686.33元，下降3.43%</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落实过紧日子精神，压减项目经费和公用经费</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一般公共预算财政拨款收入77,694,250.48元、其他收入3,333,721.27元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教育支出81,027,971.75元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天津市西青区张家窝中学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81,027,971.75</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减少2,876,686.33元，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落实过紧日子精神，压减项目经费和公用经费</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一般公共预算财政拨款收入77,694,250.48元，占95.89%；其他收入3,333,721.27元，占4.11%</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天津市西青区张家窝中学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81,027,971.75</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减少2,876,686.33元，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落实过紧日子精神，压减项目经费和公用经费</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基本支出75,817,702.15元，占93.57%；项目支出5,210,269.60元，占6.43%</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天津市西青区张家窝中学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77,694,250.48</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减少3,055,885.37元，下降3.78%，</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落实过紧日子精神，压减项目经费和公用经费</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一般公共预算财政拨款77,694,250.48元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教育支出77,694,250.48元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天津市西青区张家窝中学2025年度一般公共预算财政拨款支出合计77,694,250.48元，占本年支出合计的95.89%。与2024年度相比，一般公共预算财政拨款支出</w:t>
      </w:r>
      <w:r>
        <w:rPr>
          <w:rFonts w:eastAsia="仿宋_GB2312" w:hint="eastAsia"/>
          <w:sz w:val="30"/>
          <w:szCs w:val="30"/>
          <w:highlight w:val="none"/>
          <w:lang w:val="en-US" w:eastAsia="zh-CN"/>
        </w:rPr>
        <w:t xml:space="preserve">减少3,055,885.37元</w:t>
      </w:r>
      <w:r>
        <w:rPr>
          <w:rFonts w:eastAsia="仿宋_GB2312" w:hint="eastAsia"/>
          <w:sz w:val="30"/>
          <w:szCs w:val="30"/>
          <w:highlight w:val="none"/>
          <w:lang w:val="en-US" w:eastAsia="zh-CN"/>
        </w:rPr>
        <w:t xml:space="preserve">,下降3.78%</w:t>
      </w:r>
      <w:r>
        <w:rPr>
          <w:rFonts w:eastAsia="仿宋_GB2312" w:hint="eastAsia"/>
          <w:sz w:val="30"/>
          <w:szCs w:val="30"/>
          <w:highlight w:val="none"/>
          <w:lang w:val="en-US" w:eastAsia="zh-CN"/>
        </w:rPr>
        <w:t xml:space="preserve">，主要原因是落实过紧日子精神，压减项目经费和公用经费。</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2025年度一般公共预算财政拨款支出77,694,250.48元，主要用于以下方面：</w:t>
      </w:r>
      <w:r>
        <w:rPr>
          <w:rFonts w:eastAsia="仿宋_GB2312" w:hint="eastAsia"/>
          <w:sz w:val="30"/>
          <w:szCs w:val="30"/>
          <w:highlight w:val="none"/>
        </w:rPr>
        <w:t xml:space="preserve">教育支出（类）支出77,694,250.48元，占100.00%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2025年度一般公共预算财政拨款支出年初预算为80,098,607.64元，支出决算为77,694,250.48元</w:t>
      </w:r>
      <w:r>
        <w:rPr>
          <w:rFonts w:eastAsia="仿宋_GB2312" w:hint="eastAsia"/>
          <w:sz w:val="30"/>
          <w:szCs w:val="30"/>
          <w:highlight w:val="none"/>
          <w:lang w:val="en-US" w:eastAsia="zh-CN"/>
        </w:rPr>
        <w:t xml:space="preserve">，完成年初预算的97.00%</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1.教育支出（类）普通教育（款）初中教育（项）年初预算为49,253,880.44元，支出决算为50,868,483.81元，完成年初预算的103.28%，决算数大于年初预算数的主要原因是：人员工资调整，人员经费支出增加。</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2.教育支出（类）普通教育（款）高中教育（项）年初预算为30,554,727.20元，支出决算为26,695,106.67元，完成年初预算的87.37%，决算数小于年初预算数的主要原因是：落实过紧日子精神，压减公用经费。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教育支出（类）普通教育（款）其他普通教育支出（项）年初预算为260,000.00元，支出决算为130,660.00元，完成年初预算的50.25%，决算数小于年初预算数的主要原因是：三杰教师发展经费中的部分经费未拨付，决算支出低于预算金额。</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4.教育支出（类）特殊教育（款）特殊学校教育（项）年初预算为30,000.00元，支出决算为0.00元，决算数小于年初预算数的主要原因是：随班就读年初预算经费未拨付。</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天津市西青区张家窝中学2025年度一般公共预算财政拨款基本支出合计72,483,980.88元，与2024年度相比</w:t>
      </w:r>
      <w:r>
        <w:rPr>
          <w:rFonts w:eastAsia="仿宋_GB2312" w:hint="eastAsia"/>
          <w:sz w:val="30"/>
          <w:szCs w:val="30"/>
          <w:highlight w:val="none"/>
          <w:lang w:val="en-US" w:eastAsia="zh-CN"/>
        </w:rPr>
        <w:t xml:space="preserve">减少2,135,052.55元，</w:t>
      </w:r>
      <w:r>
        <w:rPr>
          <w:rFonts w:eastAsia="仿宋_GB2312" w:hint="eastAsia"/>
          <w:sz w:val="30"/>
          <w:szCs w:val="30"/>
          <w:highlight w:val="none"/>
          <w:lang w:val="en-US" w:eastAsia="zh-CN"/>
        </w:rPr>
        <w:t xml:space="preserve">主要原因是落实过紧日子精神，压减公用经费支出。</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人员经费69,801,241.56元，主要包括</w:t>
      </w:r>
      <w:r>
        <w:rPr>
          <w:rFonts w:eastAsia="仿宋_GB2312" w:hint="eastAsia"/>
          <w:sz w:val="30"/>
          <w:szCs w:val="30"/>
          <w:highlight w:val="none"/>
          <w:lang w:val="en-US" w:eastAsia="zh-CN"/>
        </w:rPr>
        <w:t xml:space="preserve">基本工资、津贴补贴、奖金、绩效工资、机关事业单位基本养老保险缴费、职业年金缴费、职工基本医疗保险缴费、其他社会保障缴费、住房公积金、医疗费、退休费、抚恤金、生活补助、医疗费补助、奖励金、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公用经费2,682,739.32元，主要包括</w:t>
      </w:r>
      <w:r>
        <w:rPr>
          <w:rFonts w:eastAsia="仿宋_GB2312" w:hint="eastAsia"/>
          <w:sz w:val="30"/>
          <w:szCs w:val="30"/>
          <w:highlight w:val="none"/>
          <w:lang w:val="en-US" w:eastAsia="zh-CN"/>
        </w:rPr>
        <w:t xml:space="preserve">办公费、水费、电费、取暖费、物业管理费、培训费、工会经费、福利费</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天津市西青区张家窝中学2025年度无政府性基金预算财政拨款收入、支出和结转结余。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天津市西青区张家窝中学2025年度无国有资本经营预算财政拨款收入、支出和结转结余。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决算数与预算数持平的主要原因是本年度未用财政拨款列支“三公”经费；</w:t>
      </w:r>
      <w:r>
        <w:rPr>
          <w:rFonts w:eastAsia="仿宋_GB2312" w:hint="eastAsia"/>
          <w:sz w:val="30"/>
          <w:szCs w:val="30"/>
          <w:highlight w:val="none"/>
          <w:lang w:val="en-US" w:eastAsia="zh-CN"/>
        </w:rPr>
        <w:t xml:space="preserve">决算数较上年持平的主要原因是本年度未用财政拨款列支“三公”经费。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决算数与预算数持平的主要原因是本年度未用财政拨款列支因公出国（境）费；</w:t>
      </w:r>
      <w:r>
        <w:rPr>
          <w:rFonts w:eastAsia="仿宋_GB2312" w:hint="eastAsia"/>
          <w:sz w:val="30"/>
          <w:szCs w:val="30"/>
          <w:highlight w:val="none"/>
          <w:lang w:val="en-US" w:eastAsia="zh-CN"/>
        </w:rPr>
        <w:t xml:space="preserve">决算数较上年持平的主要原因是本年度未用财政拨款列支因公出国（境）费。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决算数与预算数持平的主要原因是本年度未用财政拨款列支公务用车购置及运行维护费；</w:t>
      </w:r>
      <w:r>
        <w:rPr>
          <w:rFonts w:eastAsia="仿宋_GB2312" w:hint="eastAsia"/>
          <w:sz w:val="30"/>
          <w:szCs w:val="30"/>
          <w:highlight w:val="none"/>
          <w:lang w:val="en-US" w:eastAsia="zh-CN"/>
        </w:rPr>
        <w:t xml:space="preserve">决算数较上年持平的主要原因是本年度未用财政拨款列支公务用车购置及运行维护费。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决算数与预算数持平的主要原因是本年度未用财政拨款列支公务用车运行维护费；</w:t>
      </w:r>
      <w:r>
        <w:rPr>
          <w:rFonts w:eastAsia="仿宋_GB2312" w:hint="eastAsia"/>
          <w:sz w:val="30"/>
          <w:szCs w:val="30"/>
          <w:highlight w:val="none"/>
          <w:lang w:val="en-US" w:eastAsia="zh-CN"/>
        </w:rPr>
        <w:t xml:space="preserve">决算数较上年持平的主要原因是本年度未用财政拨款列支公务用车运行维护费。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决算数与预算数持平的主要原因是本年度未用财政拨款列支公务用车购置费；</w:t>
      </w:r>
      <w:r>
        <w:rPr>
          <w:rFonts w:eastAsia="仿宋_GB2312" w:hint="eastAsia"/>
          <w:sz w:val="30"/>
          <w:szCs w:val="30"/>
          <w:highlight w:val="none"/>
          <w:lang w:val="en-US" w:eastAsia="zh-CN"/>
        </w:rPr>
        <w:t xml:space="preserve">决算数较上年持平的主要原因是本年度未用财政拨款列支公务用车购置费。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决算数与预算数持平的主要原因是本年度未用财政拨款列支公务接待费；</w:t>
      </w:r>
      <w:r>
        <w:rPr>
          <w:rFonts w:eastAsia="仿宋_GB2312" w:hint="eastAsia"/>
          <w:sz w:val="30"/>
          <w:szCs w:val="30"/>
          <w:highlight w:val="none"/>
          <w:lang w:val="en-US" w:eastAsia="zh-CN"/>
        </w:rPr>
        <w:t xml:space="preserve">决算数较上年持平的主要原因是本年度未用财政拨款列支公务接待费。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天津市西青区张家窝中学2025年度无机关运行经费。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张家窝中学2025年政府采购支出总额5,471,099.50元，其中：政府采购货物支出74,483.50元、政府采购工程支出0.00元、政府采购服务支出5,396,616.00元。授予中小企业合同金额1,622,483.50元，占政府采购支出总额的29.66%，其中：授予小微企业合同金额1,622,483.50元，占政府采购支出总额的29.66%；货物采购授予中小企业合同金额占货物支出金额的100.00%，工程采购授予中小企业合同金额占工程支出金额的0.00%，服务采购授予中小企业合同金额占服务支出金额的28.68%。</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截至2025年12月31日，天津市西青区张家窝中学共有车辆1辆</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其他用车1辆</w:t>
      </w:r>
      <w:r>
        <w:rPr>
          <w:rFonts w:eastAsia="仿宋_GB2312" w:hint="eastAsia"/>
          <w:sz w:val="30"/>
          <w:szCs w:val="30"/>
          <w:highlight w:val="none"/>
          <w:lang w:val="en-US" w:eastAsia="zh-CN"/>
        </w:rPr>
        <w:t xml:space="preserve">，其他用车主要包括1辆三峰车</w:t>
      </w:r>
      <w:r>
        <w:rPr>
          <w:rFonts w:eastAsia="仿宋_GB2312" w:hint="eastAsia"/>
          <w:sz w:val="30"/>
          <w:szCs w:val="30"/>
          <w:highlight w:val="none"/>
          <w:lang w:val="en-US" w:eastAsia="zh-CN"/>
        </w:rPr>
        <w:t xml:space="preserve">。单价100万元以上的设备0台（套）。</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根据预算绩效管理要求，天津市西青区张家窝中学已对5个2025年度项目开展绩效自评，涉及金额5,210,269.60 元，自评结果已随部门决算一并公开。</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天津市西青区张家窝中学不属于乡、镇、街级单位，不涉及公开2025年度教育、医疗卫生、社会保障和就业、住房保障、涉农补贴等民生支出情况。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76E6CD05-2CF3-4188-ACF6-CB51663742CA}"/>
    <w:embedBold r:id="rId2" w:subsetted="1" w:fontKey="{36824C1D-1338-4694-A724-E8D4E54ED398}"/>
  </w:font>
  <w:font w:name="Cambria">
    <w:panose1 w:val="02040503050406030204"/>
    <w:charset w:val="00"/>
    <w:family w:val="roman"/>
    <w:pitch w:val="default"/>
    <w:sig w:usb0="E00006FF" w:usb1="420024FF" w:usb2="02000000" w:usb3="00000000" w:csb0="2000019F" w:csb1="00000000"/>
    <w:embedRegular r:id="rId3" w:fontKey="{CF4E4EAD-6627-4C40-9A8D-91F3CE4B2404}"/>
  </w:font>
  <w:font w:name="Calibri">
    <w:panose1 w:val="020F0502020204030204"/>
    <w:charset w:val="00"/>
    <w:family w:val="swiss"/>
    <w:pitch w:val="default"/>
    <w:sig w:usb0="E4002EFF" w:usb1="C200247B" w:usb2="00000009" w:usb3="00000000" w:csb0="200001FF" w:csb1="00000000"/>
    <w:embedRegular r:id="rId4" w:fontKey="{976419AB-EEC3-48CE-81D8-AA1DB6A9FD77}"/>
  </w:font>
  <w:font w:name="黑体">
    <w:panose1 w:val="02010609060101010101"/>
    <w:charset w:val="FFFFFF86"/>
    <w:family w:val="auto"/>
    <w:pitch w:val="default"/>
    <w:sig w:usb0="800002BF" w:usb1="38CF7CFA" w:usb2="00000016" w:usb3="00000000" w:csb0="00040001" w:csb1="00000000"/>
    <w:embedRegular r:id="rId5" w:subsetted="1" w:fontKey="{C9B817D8-F18C-4729-A462-5461BCA10678}"/>
    <w:embedBold r:id="rId6" w:subsetted="1" w:fontKey="{08B49F98-059F-48F3-AD05-684F3253F46D}"/>
  </w:font>
  <w:font w:name="方正小标宋简体">
    <w:altName w:val="黑体"/>
    <w:panose1 w:val="02000000000000000000"/>
    <w:charset w:val="FFFFFF86"/>
    <w:family w:val="auto"/>
    <w:pitch w:val="default"/>
    <w:sig w:usb0="00000001" w:usb1="08000000" w:usb2="00000000" w:usb3="00000000" w:csb0="00040000" w:csb1="00000000"/>
    <w:embedRegular r:id="rId7" w:fontKey="{D04A4487-3D5E-4FC8-931C-DF50B9D164F8}"/>
    <w:embedBold r:id="rId8" w:fontKey="{9BB2EAF2-4BA3-4266-88E0-1A8A85F60198}"/>
  </w:font>
  <w:font w:name="仿宋">
    <w:panose1 w:val="02010609060101010101"/>
    <w:charset w:val="FFFFFF86"/>
    <w:family w:val="auto"/>
    <w:pitch w:val="default"/>
    <w:sig w:usb0="800002BF" w:usb1="38CF7CFA" w:usb2="00000016" w:usb3="00000000" w:csb0="00040001" w:csb1="00000000"/>
    <w:embedRegular r:id="rId9" w:subsetted="1" w:fontKey="{25365712-3FE0-4FE8-AF17-135699B40686}"/>
    <w:embedBold r:id="rId10" w:subsetted="1" w:fontKey="{F7246153-922C-44D0-8974-EA2C840D8D50}"/>
  </w:font>
  <w:font w:name="方正仿宋_GB2312">
    <w:altName w:val="仿宋"/>
    <w:panose1 w:val="02000000000000000000"/>
    <w:charset w:val="FFFFFF86"/>
    <w:family w:val="auto"/>
    <w:pitch w:val="default"/>
    <w:sig w:usb0="A00002BF" w:usb1="184F6CFA" w:usb2="00000012" w:usb3="00000000" w:csb0="00040001" w:csb1="00000000"/>
    <w:embedRegular r:id="rId11" w:fontKey="{E30A6E58-8257-4D86-8BC3-1E2810979844}"/>
  </w:font>
  <w:font w:name="仿宋_GB2312">
    <w:altName w:val="仿宋"/>
    <w:panose1 w:val="02010609030101010101"/>
    <w:charset w:val="FFFFFF86"/>
    <w:family w:val="auto"/>
    <w:pitch w:val="default"/>
    <w:sig w:usb0="00000001" w:usb1="080E0000" w:usb2="00000000" w:usb3="00000000" w:csb0="00040000" w:csb1="00000000"/>
    <w:embedRegular r:id="rId12" w:fontKey="{AE70CFDD-2E11-4EF4-8971-0B1D40C8EE26}"/>
  </w:font>
  <w:font w:name="方正楷体_GB2312">
    <w:altName w:val="宋体"/>
    <w:panose1 w:val="02000000000000000000"/>
    <w:charset w:val="FFFFFF86"/>
    <w:family w:val="auto"/>
    <w:pitch w:val="default"/>
    <w:sig w:usb0="A00002BF" w:usb1="184F6CFA" w:usb2="00000012" w:usb3="00000000" w:csb0="00040001" w:csb1="00000000"/>
    <w:embedRegular r:id="rId13" w:fontKey="{8A0D7ECC-A5C5-4191-BA47-B7D56EBCBE8F}"/>
  </w:font>
  <w:font w:name="等线">
    <w:panose1 w:val="02010600030101010101"/>
    <w:charset w:val="FFFFFF86"/>
    <w:family w:val="auto"/>
    <w:pitch w:val="default"/>
    <w:sig w:usb0="A00002BF" w:usb1="38CF7CFA" w:usb2="00000016" w:usb3="00000000" w:csb0="0004000F" w:csb1="00000000"/>
    <w:embedRegular r:id="rId14" w:subsetted="1" w:fontKey="{49608B39-C00F-49E9-98A8-DDC67DD210D4}"/>
  </w:font>
  <w:font w:name="楷体">
    <w:panose1 w:val="02010609060101010101"/>
    <w:charset w:val="FFFFFF86"/>
    <w:family w:val="decorative"/>
    <w:pitch w:val="default"/>
    <w:sig w:usb0="800002BF" w:usb1="38CF7CFA" w:usb2="00000016" w:usb3="00000000" w:csb0="00040001" w:csb1="00000000"/>
    <w:embedRegular r:id="rId15" w:subsetted="1" w:fontKey="{23269BD6-E206-4F05-836F-A16C688610D0}"/>
    <w:embedBold r:id="rId16" w:subsetted="1" w:fontKey="{C1408FD5-8B89-47A2-888A-1187D53B729A}"/>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5</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26</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16" Type="http://schemas.openxmlformats.org/officeDocument/2006/relationships/font" Target="fonts/font15.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29</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