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天津市西青区精武中学</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天津市西青区精武中学</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实施初中义务教育，促进基础教育发展，开展初中学历教育工作</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天津市西青区精武中学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单位本级（内设4个职能科室）。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天津市西青区精武中学</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38301340.91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40075107.31</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1773766.40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40075107.31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40075107.31</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40075107.31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40075107.31</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天津市西青区精武中学</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40075107.31</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38301340.91</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1773766.40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40075107.31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38301340.91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1773766.40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40075107.31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38301340.91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1773766.40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2050203</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初中教育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40044551.31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38270784.91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1773766.40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其他普通教育支出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30556.00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30556.00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天津市西青区精武中学</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40075107.31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40075107.31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38301340.91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1773766.40</w:t>
            </w: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330209</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天津市西青区精武中学</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40075107.31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40075107.31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38301340.91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1773766.40</w:t>
            </w: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天津市西青区精武中学</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330209</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天津市西青区精武中学</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天津市西青区精武中学</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40075107.31</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37053720.04</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3021387.27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40075107.31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37053720.04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3021387.27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40075107.31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37053720.04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3021387.27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40044551.31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37023164.04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3021387.27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30556.00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30556.00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天津市西青区精武中学</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38301340.91</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38301340.91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38301340.91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38301340.91</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38301340.91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38301340.91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38301340.91</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38301340.91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38301340.91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天津市西青区精武中学</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38301340.91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35279953.64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33773962.44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1505991.20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3021387.27</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38301340.91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35279953.64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33773962.44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1505991.20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3021387.27</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38301340.91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35279953.64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33773962.44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1505991.20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3021387.27</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38270784.91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35249397.64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33743406.44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1505991.20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3021387.27</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30556.00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30556.00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30556.00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20507</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2050701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特殊学校教育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天津市西青区精武中学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33086953.44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1505991.20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7322162.95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3180981.40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1112500.00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35232.54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8598879.64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119033.57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2295661.55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254.20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1147789.20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252431.78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1502001.04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726068.22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8116.00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117656.34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7711212.00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98109.32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687009.00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489068.00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30556.00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30106.00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86354.44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63804.00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375.00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10037.00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73100.00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267463.45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33773962.44</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1505991.20</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天津市西青区精武中学</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天津市西青区精武中学2025年度政府性基金预算财政拨款收入支出决算表为空表。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天津市西青区精武中学</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天津市西青区精武中学2025年度国有资本经营预算财政拨款收入支出决算表为空表。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天津市西青区精武中学</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天津市西青区精武中学2025年财政拨款“三公”经费支出决算表为空表。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天津市西青区精武中学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3021387.27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3021387.27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3021387.27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3021387.27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3021387.27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3021387.27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3021387.27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3021387.27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教育系统综合业务费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3021387.27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3021387.27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天津市西青区精武中学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40,075,107.31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减少796,214.88元，下降1.95%</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落实过紧日子要求，压缩项目及公用经费开支</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一般公共预算财政拨款收入38,301,340.91元、其他收入1,773,766.40元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教育支出40,075,107.31元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天津市西青区精武中学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40,075,107.31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减少789,765.37元，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落实过紧日子要求，压缩项目及公用经费开支</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一般公共预算财政拨款收入38,301,340.91元，占95.57%；其他收入1,773,766.40元，占4.43%</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天津市西青区精武中学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40,075,107.31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减少796,214.88元，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落实过紧日子要求，压缩项目及公用经费开支</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基本支出37,053,720.04元，占92.46%；项目支出3,021,387.27元，占7.54%</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天津市西青区精武中学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38,301,340.91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减少822,694.77元，下降2.10%，</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落实过紧日子要求，压缩项目及公用经费开支</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一般公共预算财政拨款38,301,340.91元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教育支出38,301,340.91元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天津市西青区精武中学2025年度一般公共预算财政拨款支出合计38,301,340.91元，占本年支出合计的95.57%。与2024年度相比，一般公共预算财政拨款支出</w:t>
      </w:r>
      <w:r>
        <w:rPr>
          <w:rFonts w:eastAsia="仿宋_GB2312" w:hint="eastAsia"/>
          <w:sz w:val="30"/>
          <w:szCs w:val="30"/>
          <w:highlight w:val="none"/>
          <w:lang w:val="en-US" w:eastAsia="zh-CN"/>
        </w:rPr>
        <w:t xml:space="preserve">减少822,694.77元</w:t>
      </w:r>
      <w:r>
        <w:rPr>
          <w:rFonts w:eastAsia="仿宋_GB2312" w:hint="eastAsia"/>
          <w:sz w:val="30"/>
          <w:szCs w:val="30"/>
          <w:highlight w:val="none"/>
          <w:lang w:val="en-US" w:eastAsia="zh-CN"/>
        </w:rPr>
        <w:t xml:space="preserve">,下降2.10%</w:t>
      </w:r>
      <w:r>
        <w:rPr>
          <w:rFonts w:eastAsia="仿宋_GB2312" w:hint="eastAsia"/>
          <w:sz w:val="30"/>
          <w:szCs w:val="30"/>
          <w:highlight w:val="none"/>
          <w:lang w:val="en-US" w:eastAsia="zh-CN"/>
        </w:rPr>
        <w:t xml:space="preserve">，主要原因是落实过紧日子要求，压缩公用经费开支。</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2025年度一般公共预算财政拨款支出38,301,340.91元，主要用于以下方面：</w:t>
      </w:r>
      <w:r>
        <w:rPr>
          <w:rFonts w:eastAsia="仿宋_GB2312" w:hint="eastAsia"/>
          <w:sz w:val="30"/>
          <w:szCs w:val="30"/>
          <w:highlight w:val="none"/>
        </w:rPr>
        <w:t xml:space="preserve">教育支出（类）支出38,301,340.91元，占100.00%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2025年度一般公共预算财政拨款支出年初预算为37,295,644.30元，支出决算为38,301,340.91元</w:t>
      </w:r>
      <w:r>
        <w:rPr>
          <w:rFonts w:eastAsia="仿宋_GB2312" w:hint="eastAsia"/>
          <w:sz w:val="30"/>
          <w:szCs w:val="30"/>
          <w:highlight w:val="none"/>
          <w:lang w:val="en-US" w:eastAsia="zh-CN"/>
        </w:rPr>
        <w:t xml:space="preserve">，完成年初预算的102.70%</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初中教育（项）年初预算为37,275,644.30元，支出决算为38,270,784.91元，完成年初预算的102.67%，决算数大于年初预算数的主要原因是：在职人员变动净增3人（招录4人，退休1人），造成人员经费增加。</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2.教育支出（类）普通教育（款）其他普通教育支出（项）年初预算为0.00元，支出决算为30,556.00元，决算数大于年初预算数的主要原因是：追加预算，用于退休人员去世抚恤金支出。</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3.教育支出（类）特殊教育（款）特殊学校教育（项）年初预算为20,000.00元，支出决算为0.00元，决算数小于年初预算数的主要原因是：落实过紧日子要求，2025年度未安排相关支出。</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天津市西青区精武中学2025年度一般公共预算财政拨款基本支出合计35,279,953.64元，与2024年度相比</w:t>
      </w:r>
      <w:r>
        <w:rPr>
          <w:rFonts w:eastAsia="仿宋_GB2312" w:hint="eastAsia"/>
          <w:sz w:val="30"/>
          <w:szCs w:val="30"/>
          <w:highlight w:val="none"/>
          <w:lang w:val="en-US" w:eastAsia="zh-CN"/>
        </w:rPr>
        <w:t xml:space="preserve">增加1,416,039.34元，</w:t>
      </w:r>
      <w:r>
        <w:rPr>
          <w:rFonts w:eastAsia="仿宋_GB2312" w:hint="eastAsia"/>
          <w:sz w:val="30"/>
          <w:szCs w:val="30"/>
          <w:highlight w:val="none"/>
          <w:lang w:val="en-US" w:eastAsia="zh-CN"/>
        </w:rPr>
        <w:t xml:space="preserve">主要原因是在职人员变动净增3人（招录4人，退休1人），造成人员经费增加。</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人员经费33,773,962.44元，主要包括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退休费、抚恤金、生活补助、医疗费补助、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公用经费1,505,991.20元，主要包括</w:t>
      </w:r>
      <w:r>
        <w:rPr>
          <w:rFonts w:eastAsia="仿宋_GB2312" w:hint="eastAsia"/>
          <w:sz w:val="30"/>
          <w:szCs w:val="30"/>
          <w:highlight w:val="none"/>
          <w:lang w:val="en-US" w:eastAsia="zh-CN"/>
        </w:rPr>
        <w:t xml:space="preserve">手续费、水费、电费、邮电费、取暖费、物业管理费、差旅费、委托业务费、其他交通费用、其他商品和服务支出</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天津市西青区精武中学2025年度无政府性基金预算财政拨款收入、支出和结转结余。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天津市西青区精武中学2025年度无国有资本经营预算财政拨款收入、支出和结转结余。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决算数与预算数持平的主要原因是本年未用财政拨款列支“三公”经费；</w:t>
      </w:r>
      <w:r>
        <w:rPr>
          <w:rFonts w:eastAsia="仿宋_GB2312" w:hint="eastAsia"/>
          <w:sz w:val="30"/>
          <w:szCs w:val="30"/>
          <w:highlight w:val="none"/>
          <w:lang w:val="en-US" w:eastAsia="zh-CN"/>
        </w:rPr>
        <w:t xml:space="preserve">决算数较上年持平的主要原因是本年未用财政拨款列支“三公”经费。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决算数与预算数持平的主要原因是本年度未用财政拨款经费列支因公出国（境）费；</w:t>
      </w:r>
      <w:r>
        <w:rPr>
          <w:rFonts w:eastAsia="仿宋_GB2312" w:hint="eastAsia"/>
          <w:sz w:val="30"/>
          <w:szCs w:val="30"/>
          <w:highlight w:val="none"/>
          <w:lang w:val="en-US" w:eastAsia="zh-CN"/>
        </w:rPr>
        <w:t xml:space="preserve">决算数较上年持平的主要原因是本年度未用财政拨款经费列支因公出国（境）费。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决算数与预算数持平的主要原因是本年度未用财政拨款经费列支公务用车购置及运行维护费；</w:t>
      </w:r>
      <w:r>
        <w:rPr>
          <w:rFonts w:eastAsia="仿宋_GB2312" w:hint="eastAsia"/>
          <w:sz w:val="30"/>
          <w:szCs w:val="30"/>
          <w:highlight w:val="none"/>
          <w:lang w:val="en-US" w:eastAsia="zh-CN"/>
        </w:rPr>
        <w:t xml:space="preserve">决算数较上年持平的主要原因是本年度未用财政拨款经费列支公务用车购置及运行维护费。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决算数与预算数持平的主要原因是本年度未用财政拨款经费列支公务用车运行维护费；</w:t>
      </w:r>
      <w:r>
        <w:rPr>
          <w:rFonts w:eastAsia="仿宋_GB2312" w:hint="eastAsia"/>
          <w:sz w:val="30"/>
          <w:szCs w:val="30"/>
          <w:highlight w:val="none"/>
          <w:lang w:val="en-US" w:eastAsia="zh-CN"/>
        </w:rPr>
        <w:t xml:space="preserve">决算数较上年持平的主要原因是本年度未用财政拨款经费列支公务用车运行维护费。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决算数与预算数持平的主要原因是本年度未用财政拨款经费列支公务用车购置费；</w:t>
      </w:r>
      <w:r>
        <w:rPr>
          <w:rFonts w:eastAsia="仿宋_GB2312" w:hint="eastAsia"/>
          <w:sz w:val="30"/>
          <w:szCs w:val="30"/>
          <w:highlight w:val="none"/>
          <w:lang w:val="en-US" w:eastAsia="zh-CN"/>
        </w:rPr>
        <w:t xml:space="preserve">决算数较上年持平的主要原因是本年度未用财政拨款经费列支公务用车购置费。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决算数与预算数持平的主要原因是本年度未用财政拨款经费列支公务接待费；</w:t>
      </w:r>
      <w:r>
        <w:rPr>
          <w:rFonts w:eastAsia="仿宋_GB2312" w:hint="eastAsia"/>
          <w:sz w:val="30"/>
          <w:szCs w:val="30"/>
          <w:highlight w:val="none"/>
          <w:lang w:val="en-US" w:eastAsia="zh-CN"/>
        </w:rPr>
        <w:t xml:space="preserve">决算数较上年持平的主要原因是本年度未用财政拨款经费列支公务接待费。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天津市西青区精武中学2025年度无机关运行经费。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天津市西青区精武中学2025年度无政府采购支出。</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天津市西青区精武中学2025年度无国有资产占有使用情况。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根据预算绩效管理要求，天津市西青区精武中学已对1个2025年度项目开展绩效自评，涉及金额3,021,387.27元，自评结果已随部门决算一并公开。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天津市西青区精武中学不属于乡、镇、街级单位，不涉及公开2025年度教育、医疗卫生、社会保障和就业、住房保障、涉农补贴等民生支出情况。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90FF29CE-5CA3-4070-BFEF-97E5996ACB96}"/>
    <w:embedBold r:id="rId2" w:subsetted="1" w:fontKey="{0A296563-49F8-4D09-A91F-B6C050EF7F1F}"/>
  </w:font>
  <w:font w:name="Cambria">
    <w:panose1 w:val="02040503050406030204"/>
    <w:charset w:val="00"/>
    <w:family w:val="roman"/>
    <w:pitch w:val="default"/>
    <w:sig w:usb0="E00006FF" w:usb1="420024FF" w:usb2="02000000" w:usb3="00000000" w:csb0="2000019F" w:csb1="00000000"/>
    <w:embedRegular r:id="rId3" w:fontKey="{05B07103-D31A-4F2E-9158-8B97B142F66C}"/>
  </w:font>
  <w:font w:name="Calibri">
    <w:panose1 w:val="020F0502020204030204"/>
    <w:charset w:val="00"/>
    <w:family w:val="swiss"/>
    <w:pitch w:val="default"/>
    <w:sig w:usb0="E4002EFF" w:usb1="C200247B" w:usb2="00000009" w:usb3="00000000" w:csb0="200001FF" w:csb1="00000000"/>
    <w:embedRegular r:id="rId4" w:fontKey="{B9C66264-1BCF-4BFD-BFB6-FF83D4A448B5}"/>
  </w:font>
  <w:font w:name="黑体">
    <w:panose1 w:val="02010609060101010101"/>
    <w:charset w:val="FFFFFF86"/>
    <w:family w:val="auto"/>
    <w:pitch w:val="default"/>
    <w:sig w:usb0="800002BF" w:usb1="38CF7CFA" w:usb2="00000016" w:usb3="00000000" w:csb0="00040001" w:csb1="00000000"/>
    <w:embedRegular r:id="rId5" w:subsetted="1" w:fontKey="{BF214056-186B-4BBF-B585-3E006FBEEF4A}"/>
    <w:embedBold r:id="rId6" w:subsetted="1" w:fontKey="{529EF3B7-46B1-444F-B5E1-AD59B9EB89EA}"/>
  </w:font>
  <w:font w:name="方正小标宋简体">
    <w:altName w:val="黑体"/>
    <w:panose1 w:val="02000000000000000000"/>
    <w:charset w:val="FFFFFF86"/>
    <w:family w:val="auto"/>
    <w:pitch w:val="default"/>
    <w:sig w:usb0="00000001" w:usb1="08000000" w:usb2="00000000" w:usb3="00000000" w:csb0="00040000" w:csb1="00000000"/>
    <w:embedRegular r:id="rId7" w:fontKey="{B69A3EBB-063F-43B2-827B-6A0FC87355F4}"/>
    <w:embedBold r:id="rId8" w:fontKey="{F497A6E7-AC58-4BF7-9B7A-6BE57308C76D}"/>
  </w:font>
  <w:font w:name="仿宋">
    <w:panose1 w:val="02010609060101010101"/>
    <w:charset w:val="FFFFFF86"/>
    <w:family w:val="auto"/>
    <w:pitch w:val="default"/>
    <w:sig w:usb0="800002BF" w:usb1="38CF7CFA" w:usb2="00000016" w:usb3="00000000" w:csb0="00040001" w:csb1="00000000"/>
    <w:embedRegular r:id="rId9" w:subsetted="1" w:fontKey="{3CEE274A-35F7-4613-B31B-4CA479075034}"/>
    <w:embedBold r:id="rId10" w:subsetted="1" w:fontKey="{2C584F71-7181-4B46-BBA8-A6DC67839FD9}"/>
  </w:font>
  <w:font w:name="方正仿宋_GB2312">
    <w:altName w:val="仿宋"/>
    <w:panose1 w:val="02000000000000000000"/>
    <w:charset w:val="FFFFFF86"/>
    <w:family w:val="auto"/>
    <w:pitch w:val="default"/>
    <w:sig w:usb0="A00002BF" w:usb1="184F6CFA" w:usb2="00000012" w:usb3="00000000" w:csb0="00040001" w:csb1="00000000"/>
    <w:embedRegular r:id="rId11" w:fontKey="{D12FE49D-FD98-4A89-B8D2-B3BDCED6CB14}"/>
  </w:font>
  <w:font w:name="仿宋_GB2312">
    <w:altName w:val="仿宋"/>
    <w:panose1 w:val="02010609030101010101"/>
    <w:charset w:val="FFFFFF86"/>
    <w:family w:val="auto"/>
    <w:pitch w:val="default"/>
    <w:sig w:usb0="00000001" w:usb1="080E0000" w:usb2="00000000" w:usb3="00000000" w:csb0="00040000" w:csb1="00000000"/>
    <w:embedRegular r:id="rId12" w:fontKey="{9EB7ACAB-9B57-48D5-9808-05238E10EE10}"/>
  </w:font>
  <w:font w:name="方正楷体_GB2312">
    <w:altName w:val="宋体"/>
    <w:panose1 w:val="02000000000000000000"/>
    <w:charset w:val="FFFFFF86"/>
    <w:family w:val="auto"/>
    <w:pitch w:val="default"/>
    <w:sig w:usb0="A00002BF" w:usb1="184F6CFA" w:usb2="00000012" w:usb3="00000000" w:csb0="00040001" w:csb1="00000000"/>
    <w:embedRegular r:id="rId13" w:fontKey="{E48C6D7D-6648-4BF8-B50C-93296247C1E4}"/>
  </w:font>
  <w:font w:name="等线">
    <w:panose1 w:val="02010600030101010101"/>
    <w:charset w:val="FFFFFF86"/>
    <w:family w:val="auto"/>
    <w:pitch w:val="default"/>
    <w:sig w:usb0="A00002BF" w:usb1="38CF7CFA" w:usb2="00000016" w:usb3="00000000" w:csb0="0004000F" w:csb1="00000000"/>
    <w:embedRegular r:id="rId14" w:subsetted="1" w:fontKey="{30B82A76-1173-484A-8D2A-078521B876FB}"/>
  </w:font>
  <w:font w:name="楷体">
    <w:panose1 w:val="02010609060101010101"/>
    <w:charset w:val="FFFFFF86"/>
    <w:family w:val="decorative"/>
    <w:pitch w:val="default"/>
    <w:sig w:usb0="800002BF" w:usb1="38CF7CFA" w:usb2="00000016" w:usb3="00000000" w:csb0="00040001" w:csb1="00000000"/>
    <w:embedRegular r:id="rId15" w:subsetted="1" w:fontKey="{362B9F9C-3DD7-4E95-A311-15E349D72454}"/>
    <w:embedBold r:id="rId16" w:subsetted="1" w:fontKey="{D452FB0E-2B90-41BC-9FFD-8F4096138142}"/>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24</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27</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