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天津市西青区第二幼儿园</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实施幼儿学前教育，促进幼儿教育全面发展。开展幼儿保育教育工作，为幼儿创设良好的每日生活，提升幼儿户外活动环境，做好园所的卫生保健及全园安全、保卫工作</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天津市西青区第二幼儿园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单位本级（内设8个职能科室）。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天津市西青区第二幼儿园</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11857566.17</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11857566.17</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11857566.17</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11857566.17</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11857566.17</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11857566.17</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天津市西青区第二幼儿园</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11857566.17</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11857566.17</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11857566.17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11857566.17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11857566.17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11857566.17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2050201</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学前教育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11836402.17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11836402.17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21164.00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21164.00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天津市西青区第二幼儿园</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11857566.17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11857566.17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11857566.17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330202</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天津市西青区第二幼儿园</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11857566.17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11857566.17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11857566.17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天津市西青区第二幼儿园</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330202</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天津市西青区第二幼儿园</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天津市西青区第二幼儿园</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11857566.17</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11857566.17</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2050201</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11836402.17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11836402.17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21164.00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21164.00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天津市西青区第二幼儿园</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11857566.17</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11857566.17</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11857566.17</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天津市西青区第二幼儿园</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11065526.93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792039.24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11065526.93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792039.24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11857566.17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11065526.93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792039.24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学前教育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11836402.17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11836402.17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11044362.93</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792039.24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21164.00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21164.00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21164.00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10583078.53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787739.24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2270827.90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49197.54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4300.00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986857.55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380500.00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736.50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13048.05</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4300.00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2489777.77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59088.80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733415.40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366466.88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90404.00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480988.62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132472.00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47980.60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2362469.00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51937.00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30970.00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432824.81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482448.40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9249.19</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428771.40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21164.00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2452.00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16840.00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33320.00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22820.00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127439.20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28000.00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3504.40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7181.00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172502.56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11065526.93</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792039.24</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天津市西青区第二幼儿园</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天津市西青区第二幼儿园2025年度政府性基金预算财政拨款收入支出决算表为空表。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天津市西青区第二幼儿园</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天津市西青区第二幼儿园2025年度国有资本经营预算财政拨款收入支出决算表为空表。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天津市西青区第二幼儿园</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天津市西青区第二幼儿园2025年财政拨款“三公”经费支出决算表为空表。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天津市西青区第二幼儿园</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divId w:val="0"/>
        <w:snapToGrid w:val="0"/>
        <w:rPr>
          <w:rFonts w:ascii="宋体" w:eastAsia="宋体" w:hAnsi="宋体" w:cs="宋体" w:hint="eastAsia"/>
          <w:i w:val="0"/>
          <w:iCs w:val="0"/>
          <w:color w:val="000000"/>
          <w:kern w:val="0.0"/>
          <w:sz w:val="20"/>
          <w:szCs w:val="20"/>
          <w:u w:val="none"/>
          <w:lang w:val="en-US" w:eastAsia="zh-CN"/>
        </w:r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r>
        <w:rPr>
          <w:rFonts w:ascii="宋体" w:eastAsia="宋体" w:hAnsi="宋体" w:cs="宋体" w:hint="eastAsia"/>
          <w:i w:val="0"/>
          <w:iCs w:val="0"/>
          <w:color w:val="000000"/>
          <w:kern w:val="0.0"/>
          <w:sz w:val="20"/>
          <w:szCs w:val="20"/>
          <w:u w:val="none"/>
          <w:lang w:val="en-US" w:eastAsia="zh-CN"/>
        </w:rPr>
        <w:t xml:space="preserve">天津市西青区第二幼儿园2025年项目支出决算表为空表。</w:t>
      </w: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11,857,566.17</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减少1,801,079.16元，下降13.19%</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本年退休6位教师，同时厉行节约，压减运行经费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一般公共预算财政拨款收入11,857,566.17元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教育支出11,857,566.17元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天津市西青区第二幼儿园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11,857,566.17</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减少1,801,079.16元，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本年退休6位教师，同时厉行节约，压减运行经费</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一般公共预算财政拨款收入11,857,566.17元，占100.00%</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天津市西青区第二幼儿园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11,857,566.17</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减少1,801,079.16元，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本年退休6位教师，同时厉行节约，压减运行经费</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基本支出11,857,566.17元，占100.00%</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11,857,566.17</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减少1,801,079.16元，下降13.19%，</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本年退休6位教师，同时厉行节约，压减运行经费</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一般公共预算财政拨款11,857,566.17元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教育支出11,857,566.17元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天津市西青区第二幼儿园2025年度一般公共预算财政拨款支出合计11,857,566.17元，占本年支出合计的100.00%。与2024年度相比，一般公共预算财政拨款支出</w:t>
      </w:r>
      <w:r>
        <w:rPr>
          <w:rFonts w:eastAsia="仿宋_GB2312" w:hint="eastAsia"/>
          <w:sz w:val="30"/>
          <w:szCs w:val="30"/>
          <w:highlight w:val="none"/>
          <w:lang w:val="en-US" w:eastAsia="zh-CN"/>
        </w:rPr>
        <w:t xml:space="preserve">减少1,801,079.16元</w:t>
      </w:r>
      <w:r>
        <w:rPr>
          <w:rFonts w:eastAsia="仿宋_GB2312" w:hint="eastAsia"/>
          <w:sz w:val="30"/>
          <w:szCs w:val="30"/>
          <w:highlight w:val="none"/>
          <w:lang w:val="en-US" w:eastAsia="zh-CN"/>
        </w:rPr>
        <w:t xml:space="preserve">,下降13.19%</w:t>
      </w:r>
      <w:r>
        <w:rPr>
          <w:rFonts w:eastAsia="仿宋_GB2312" w:hint="eastAsia"/>
          <w:sz w:val="30"/>
          <w:szCs w:val="30"/>
          <w:highlight w:val="none"/>
          <w:lang w:val="en-US" w:eastAsia="zh-CN"/>
        </w:rPr>
        <w:t xml:space="preserve">，主要原因是本年退休6位教师，同时厉行节约，压减运行经费。</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2025年度一般公共预算财政拨款支出11,857,566.17元，主要用于以下方面：</w:t>
      </w:r>
      <w:r>
        <w:rPr>
          <w:rFonts w:eastAsia="仿宋_GB2312" w:hint="eastAsia"/>
          <w:sz w:val="30"/>
          <w:szCs w:val="30"/>
          <w:highlight w:val="none"/>
        </w:rPr>
        <w:t xml:space="preserve">教育支出（类）支出11,857,566.17元，占100.00%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2025年度一般公共预算财政拨款支出年初预算为11,927,970.39元，支出决算为11,857,566.17元</w:t>
      </w:r>
      <w:r>
        <w:rPr>
          <w:rFonts w:eastAsia="仿宋_GB2312" w:hint="eastAsia"/>
          <w:sz w:val="30"/>
          <w:szCs w:val="30"/>
          <w:highlight w:val="none"/>
          <w:lang w:val="en-US" w:eastAsia="zh-CN"/>
        </w:rPr>
        <w:t xml:space="preserve">，完成年初预算的99.41%</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学前教育（项）年初预算为11,927,970.39元，支出决算为11,836,402.17元，完成年初预算的99.23%，决算数小于年初预算数的主要原因是：本年退休6位教师，同时厉行节约，压减运行经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2.教育支出（类）普通教育（款）其他普通教育支出（项）年初预算为0.00元，支出决算为21,164.00元，决算数大于年初预算数的主要原因是：追加预算，用于1位退休教师去世的抚恤金。</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天津市西青区第二幼儿园2025年度一般公共预算财政拨款基本支出合计11,857,566.17元，与2024年度相比</w:t>
      </w:r>
      <w:r>
        <w:rPr>
          <w:rFonts w:eastAsia="仿宋_GB2312" w:hint="eastAsia"/>
          <w:sz w:val="30"/>
          <w:szCs w:val="30"/>
          <w:highlight w:val="none"/>
          <w:lang w:val="en-US" w:eastAsia="zh-CN"/>
        </w:rPr>
        <w:t xml:space="preserve">减少1,767,959.16元，</w:t>
      </w:r>
      <w:r>
        <w:rPr>
          <w:rFonts w:eastAsia="仿宋_GB2312" w:hint="eastAsia"/>
          <w:sz w:val="30"/>
          <w:szCs w:val="30"/>
          <w:highlight w:val="none"/>
          <w:lang w:val="en-US" w:eastAsia="zh-CN"/>
        </w:rPr>
        <w:t xml:space="preserve">主要原因是本年退休6位教师，同时厉行节约，压减运行经费。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人员经费11,065,526.93元，主要包括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其他工资福利支出、退休费、抚恤金、生活补助、医疗费补助、奖励金、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公用经费792,039.24元，主要包括</w:t>
      </w:r>
      <w:r>
        <w:rPr>
          <w:rFonts w:eastAsia="仿宋_GB2312" w:hint="eastAsia"/>
          <w:sz w:val="30"/>
          <w:szCs w:val="30"/>
          <w:highlight w:val="none"/>
          <w:lang w:val="en-US" w:eastAsia="zh-CN"/>
        </w:rPr>
        <w:t xml:space="preserve">办公费、手续费、水费、电费、取暖费、物业管理费、维修(护)费、培训费、劳务费、委托业务费、工会经费、福利费、其他交通费用、其他商品和服务支出、专用设备购置</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决算数与预算数持平的主要原因是本年度未用财政拨款经费列支“三公”经费；</w:t>
      </w:r>
      <w:r>
        <w:rPr>
          <w:rFonts w:eastAsia="仿宋_GB2312" w:hint="eastAsia"/>
          <w:sz w:val="30"/>
          <w:szCs w:val="30"/>
          <w:highlight w:val="none"/>
          <w:lang w:val="en-US" w:eastAsia="zh-CN"/>
        </w:rPr>
        <w:t xml:space="preserve">决算数较上年持平的主要原因是本年度未用财政拨款经费列支“三公”经费。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决算数与预算数持平的主要原因是本年度未用财政拨款经费列支因公出国（境）费；</w:t>
      </w:r>
      <w:r>
        <w:rPr>
          <w:rFonts w:eastAsia="仿宋_GB2312" w:hint="eastAsia"/>
          <w:sz w:val="30"/>
          <w:szCs w:val="30"/>
          <w:highlight w:val="none"/>
          <w:lang w:val="en-US" w:eastAsia="zh-CN"/>
        </w:rPr>
        <w:t xml:space="preserve">决算数较上年持平的主要原因是本年度未用财政拨款经费列支因公出国（境）费。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决算数与预算数持平的主要原因是本年度未用财政拨款经费列支公务用车购置及运行维护费；</w:t>
      </w:r>
      <w:r>
        <w:rPr>
          <w:rFonts w:eastAsia="仿宋_GB2312" w:hint="eastAsia"/>
          <w:sz w:val="30"/>
          <w:szCs w:val="30"/>
          <w:highlight w:val="none"/>
          <w:lang w:val="en-US" w:eastAsia="zh-CN"/>
        </w:rPr>
        <w:t xml:space="preserve">决算数较上年持平的主要原因是本年度未用财政拨款经费列支公务用车购置及运行维护费。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决算数与预算数持平的主要原因是本年度未用财政拨款经费列支公务用车运行维护费；</w:t>
      </w:r>
      <w:r>
        <w:rPr>
          <w:rFonts w:eastAsia="仿宋_GB2312" w:hint="eastAsia"/>
          <w:sz w:val="30"/>
          <w:szCs w:val="30"/>
          <w:highlight w:val="none"/>
          <w:lang w:val="en-US" w:eastAsia="zh-CN"/>
        </w:rPr>
        <w:t xml:space="preserve">决算数较上年持平的主要原因是本年度未用财政拨款经费列支公务用车运行维护费。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决算数与预算数持平的主要原因是本年度未用财政拨款经费列支公务用车购置费；</w:t>
      </w:r>
      <w:r>
        <w:rPr>
          <w:rFonts w:eastAsia="仿宋_GB2312" w:hint="eastAsia"/>
          <w:sz w:val="30"/>
          <w:szCs w:val="30"/>
          <w:highlight w:val="none"/>
          <w:lang w:val="en-US" w:eastAsia="zh-CN"/>
        </w:rPr>
        <w:t xml:space="preserve">决算数较上年持平的主要原因是本年度未用财政拨款经费列支公务用车购置费。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决算数与预算数持平的主要原因是本年度未用财政拨款经费列支公务接待费；</w:t>
      </w:r>
      <w:r>
        <w:rPr>
          <w:rFonts w:eastAsia="仿宋_GB2312" w:hint="eastAsia"/>
          <w:sz w:val="30"/>
          <w:szCs w:val="30"/>
          <w:highlight w:val="none"/>
          <w:lang w:val="en-US" w:eastAsia="zh-CN"/>
        </w:rPr>
        <w:t xml:space="preserve">决算数较上年持平的主要原因是本年度未用财政拨款经费列支公务接待费。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2025年政府采购支出总额717,184.00元，其中：政府采购货物支出0.00元、政府采购工程支出0.00元、政府采购服务支出717,184.00元。授予中小企业合同金额717,184.00元，占政府采购支出总额的100.00%，其中：授予小微企业合同金额717,184.00元，占政府采购支出总额的100.00%；货物采购授予中小企业合同金额占货物支出金额的0.00%，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天津市西青区第二幼儿园2025年度无国有资产占有使用情况。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天津市西青区第二幼儿园2025年度没有项目支出，无需开展绩效自评。</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天津市西青区第二幼儿园不属于乡、镇、街级单位，不涉及公开2025年度教育、医疗卫生、社会保障和就业、住房保障、涉农补贴等民生支出情况。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E7C9E485-271C-4EDA-99D6-E20580830098}"/>
    <w:embedBold r:id="rId2" w:subsetted="1" w:fontKey="{FBE4F4B8-CA5A-4C9E-89D8-19B9840D2021}"/>
  </w:font>
  <w:font w:name="Cambria">
    <w:panose1 w:val="02040503050406030204"/>
    <w:charset w:val="00"/>
    <w:family w:val="roman"/>
    <w:pitch w:val="default"/>
    <w:sig w:usb0="E00006FF" w:usb1="420024FF" w:usb2="02000000" w:usb3="00000000" w:csb0="2000019F" w:csb1="00000000"/>
    <w:embedRegular r:id="rId3" w:fontKey="{73AE332D-9A9D-4D19-A1A7-00AB946CB28B}"/>
  </w:font>
  <w:font w:name="Calibri">
    <w:panose1 w:val="020F0502020204030204"/>
    <w:charset w:val="00"/>
    <w:family w:val="swiss"/>
    <w:pitch w:val="default"/>
    <w:sig w:usb0="E4002EFF" w:usb1="C200247B" w:usb2="00000009" w:usb3="00000000" w:csb0="200001FF" w:csb1="00000000"/>
    <w:embedRegular r:id="rId4" w:fontKey="{D44AE38A-80CE-4B00-B67C-804415B2ACB6}"/>
  </w:font>
  <w:font w:name="黑体">
    <w:panose1 w:val="02010609060101010101"/>
    <w:charset w:val="FFFFFF86"/>
    <w:family w:val="auto"/>
    <w:pitch w:val="default"/>
    <w:sig w:usb0="800002BF" w:usb1="38CF7CFA" w:usb2="00000016" w:usb3="00000000" w:csb0="00040001" w:csb1="00000000"/>
    <w:embedRegular r:id="rId5" w:subsetted="1" w:fontKey="{43270F99-F633-4A84-B2F4-69D83A4B9762}"/>
    <w:embedBold r:id="rId6" w:subsetted="1" w:fontKey="{62529D6D-BEAE-4B64-894F-9055EC7CC936}"/>
  </w:font>
  <w:font w:name="方正小标宋简体">
    <w:altName w:val="黑体"/>
    <w:panose1 w:val="02000000000000000000"/>
    <w:charset w:val="FFFFFF86"/>
    <w:family w:val="auto"/>
    <w:pitch w:val="default"/>
    <w:sig w:usb0="00000001" w:usb1="08000000" w:usb2="00000000" w:usb3="00000000" w:csb0="00040000" w:csb1="00000000"/>
    <w:embedRegular r:id="rId7" w:fontKey="{9302B70A-D2FF-40A2-8DBD-A3D53DA83219}"/>
    <w:embedBold r:id="rId8" w:fontKey="{6B0A902D-C072-4F20-8B0C-96DA16B7BF3F}"/>
  </w:font>
  <w:font w:name="仿宋">
    <w:panose1 w:val="02010609060101010101"/>
    <w:charset w:val="FFFFFF86"/>
    <w:family w:val="auto"/>
    <w:pitch w:val="default"/>
    <w:sig w:usb0="800002BF" w:usb1="38CF7CFA" w:usb2="00000016" w:usb3="00000000" w:csb0="00040001" w:csb1="00000000"/>
    <w:embedRegular r:id="rId9" w:subsetted="1" w:fontKey="{B5F0FE80-0E37-4906-A054-A940624D7071}"/>
    <w:embedBold r:id="rId10" w:subsetted="1" w:fontKey="{71EB12EC-FB60-4D1B-A5B9-2BFCE48265E5}"/>
  </w:font>
  <w:font w:name="方正仿宋_GB2312">
    <w:altName w:val="仿宋"/>
    <w:panose1 w:val="02000000000000000000"/>
    <w:charset w:val="FFFFFF86"/>
    <w:family w:val="auto"/>
    <w:pitch w:val="default"/>
    <w:sig w:usb0="A00002BF" w:usb1="184F6CFA" w:usb2="00000012" w:usb3="00000000" w:csb0="00040001" w:csb1="00000000"/>
    <w:embedRegular r:id="rId11" w:fontKey="{74285C03-FB79-4667-B2AB-BCA468445F33}"/>
  </w:font>
  <w:font w:name="仿宋_GB2312">
    <w:altName w:val="仿宋"/>
    <w:panose1 w:val="02010609030101010101"/>
    <w:charset w:val="FFFFFF86"/>
    <w:family w:val="auto"/>
    <w:pitch w:val="default"/>
    <w:sig w:usb0="00000001" w:usb1="080E0000" w:usb2="00000000" w:usb3="00000000" w:csb0="00040000" w:csb1="00000000"/>
    <w:embedRegular r:id="rId12" w:fontKey="{0D3223F3-A05A-4EBF-B700-E2F41F16BDD7}"/>
  </w:font>
  <w:font w:name="方正楷体_GB2312">
    <w:altName w:val="宋体"/>
    <w:panose1 w:val="02000000000000000000"/>
    <w:charset w:val="FFFFFF86"/>
    <w:family w:val="auto"/>
    <w:pitch w:val="default"/>
    <w:sig w:usb0="A00002BF" w:usb1="184F6CFA" w:usb2="00000012" w:usb3="00000000" w:csb0="00040001" w:csb1="00000000"/>
    <w:embedRegular r:id="rId13" w:fontKey="{0AD7B9F4-621D-47D9-B193-5CF792402B0E}"/>
  </w:font>
  <w:font w:name="等线">
    <w:panose1 w:val="02010600030101010101"/>
    <w:charset w:val="FFFFFF86"/>
    <w:family w:val="auto"/>
    <w:pitch w:val="default"/>
    <w:sig w:usb0="A00002BF" w:usb1="38CF7CFA" w:usb2="00000016" w:usb3="00000000" w:csb0="0004000F" w:csb1="00000000"/>
    <w:embedRegular r:id="rId14" w:subsetted="1" w:fontKey="{1A0F7E60-124C-4903-85EF-0A13C0A92520}"/>
  </w:font>
  <w:font w:name="楷体">
    <w:panose1 w:val="02010609060101010101"/>
    <w:charset w:val="FFFFFF86"/>
    <w:family w:val="decorative"/>
    <w:pitch w:val="default"/>
    <w:sig w:usb0="800002BF" w:usb1="38CF7CFA" w:usb2="00000016" w:usb3="00000000" w:csb0="00040001" w:csb1="00000000"/>
    <w:embedRegular r:id="rId15" w:subsetted="1" w:fontKey="{A8A2C974-97A9-4A81-A6F7-4E1D8245E69E}"/>
    <w:embedBold r:id="rId16" w:subsetted="1" w:fontKey="{16F21B30-F938-4F78-A494-382AD50F32E4}"/>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