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v:background id="_x0000_s1025" filled="t" fillcolor="white">
      <v:fill color2="white"/>
    </v:background>
  </w:background>
  <w:body>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240" w:lineRule="auto"/>
        <w:jc w:val="center"/>
        <w:rPr>
          <w:rFonts w:ascii="方正小标宋简体" w:eastAsia="方正小标宋简体" w:hAnsi="方正小标宋简体" w:cs="方正小标宋简体" w:hint="eastAsia"/>
          <w:sz w:val="48"/>
          <w:szCs w:val="48"/>
          <w:lang w:val="en-US" w:eastAsia="zh-CN"/>
        </w:rPr>
      </w:pPr>
      <w:r>
        <w:rPr>
          <w:rFonts w:ascii="方正小标宋简体" w:eastAsia="方正小标宋简体" w:hAnsi="方正小标宋简体" w:cs="方正小标宋简体" w:hint="eastAsia"/>
          <w:sz w:val="48"/>
          <w:szCs w:val="48"/>
          <w:lang w:val="en-US" w:eastAsia="zh-CN"/>
        </w:rPr>
        <w:t xml:space="preserve">天津市西青区启智学校</w:t>
      </w:r>
    </w:p>
    <w:p>
      <w:pPr>
        <w:divId w:val="0"/>
        <w:spacing w:line="240" w:lineRule="auto"/>
        <w:jc w:val="center"/>
        <w:rPr>
          <w:rFonts w:ascii="方正小标宋简体" w:eastAsia="方正小标宋简体" w:hAnsi="方正小标宋简体" w:cs="方正小标宋简体" w:hint="eastAsia"/>
          <w:w w:val="95"/>
          <w:sz w:val="48"/>
          <w:szCs w:val="48"/>
        </w:rPr>
      </w:pPr>
      <w:r>
        <w:rPr>
          <w:rFonts w:ascii="方正小标宋简体" w:eastAsia="方正小标宋简体" w:hAnsi="方正小标宋简体" w:cs="方正小标宋简体" w:hint="eastAsia"/>
          <w:sz w:val="48"/>
          <w:szCs w:val="48"/>
          <w:lang w:eastAsia="zh-CN"/>
        </w:rPr>
        <w:t xml:space="preserve">202</w:t>
      </w:r>
      <w:r>
        <w:rPr>
          <w:rFonts w:ascii="方正小标宋简体" w:eastAsia="方正小标宋简体" w:hAnsi="方正小标宋简体" w:cs="方正小标宋简体" w:hint="eastAsia"/>
          <w:sz w:val="48"/>
          <w:szCs w:val="48"/>
          <w:lang w:val="en-US" w:eastAsia="zh-CN"/>
        </w:rPr>
        <w:t xml:space="preserve">5</w:t>
      </w:r>
      <w:r>
        <w:rPr>
          <w:rFonts w:ascii="方正小标宋简体" w:eastAsia="方正小标宋简体" w:hAnsi="方正小标宋简体" w:cs="方正小标宋简体" w:hint="eastAsia"/>
          <w:sz w:val="48"/>
          <w:szCs w:val="48"/>
        </w:rPr>
        <w:t xml:space="preserve">年度</w:t>
      </w:r>
      <w:r>
        <w:rPr>
          <w:rFonts w:ascii="方正小标宋简体" w:eastAsia="方正小标宋简体" w:hAnsi="方正小标宋简体" w:cs="方正小标宋简体" w:hint="eastAsia"/>
          <w:sz w:val="48"/>
          <w:szCs w:val="48"/>
          <w:lang w:val="en-US" w:eastAsia="zh-CN"/>
        </w:rPr>
        <w:t xml:space="preserve">单位</w:t>
      </w:r>
      <w:r>
        <w:rPr>
          <w:rFonts w:ascii="方正小标宋简体" w:eastAsia="方正小标宋简体" w:hAnsi="方正小标宋简体" w:cs="方正小标宋简体" w:hint="eastAsia"/>
          <w:sz w:val="48"/>
          <w:szCs w:val="48"/>
        </w:rPr>
        <w:t xml:space="preserve">决算</w:t>
      </w: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600" w:lineRule="exact"/>
        <w:jc w:val="center"/>
        <w:rPr>
          <w:rFonts w:ascii="黑体" w:eastAsia="黑体" w:hint="eastAsia"/>
          <w:sz w:val="44"/>
          <w:szCs w:val="44"/>
        </w:rPr>
        <w:sectPr>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p>
    <w:p>
      <w:pPr>
        <w:divId w:val="0"/>
        <w:spacing w:line="600" w:lineRule="exact"/>
        <w:jc w:val="center"/>
        <w:rPr>
          <w:rFonts w:ascii="黑体" w:eastAsia="黑体" w:hint="eastAsia"/>
          <w:sz w:val="44"/>
          <w:szCs w:val="44"/>
          <w:highlight w:val="none"/>
        </w:rPr>
      </w:pPr>
    </w:p>
    <w:p>
      <w:pPr>
        <w:divId w:val="0"/>
        <w:spacing w:line="600" w:lineRule="exact"/>
        <w:jc w:val="center"/>
        <w:rPr>
          <w:rFonts w:ascii="黑体" w:eastAsia="黑体" w:hint="eastAsia"/>
          <w:sz w:val="44"/>
          <w:szCs w:val="44"/>
          <w:highlight w:val="none"/>
        </w:rPr>
      </w:pPr>
      <w:r>
        <w:rPr>
          <w:rFonts w:ascii="黑体" w:eastAsia="黑体" w:hint="eastAsia"/>
          <w:sz w:val="44"/>
          <w:szCs w:val="44"/>
          <w:highlight w:val="none"/>
        </w:rPr>
        <w:t xml:space="preserve">目</w:t>
      </w:r>
      <w:r>
        <w:rPr>
          <w:rFonts w:ascii="黑体" w:eastAsia="黑体" w:hint="eastAsia"/>
          <w:sz w:val="44"/>
          <w:szCs w:val="44"/>
          <w:highlight w:val="none"/>
        </w:rPr>
        <w:t xml:space="preserve">  </w:t>
      </w:r>
      <w:r>
        <w:rPr>
          <w:rFonts w:ascii="黑体" w:eastAsia="黑体" w:hint="eastAsia"/>
          <w:sz w:val="44"/>
          <w:szCs w:val="44"/>
          <w:highlight w:val="none"/>
        </w:rPr>
        <w:t xml:space="preserve"> </w:t>
      </w:r>
      <w:r>
        <w:rPr>
          <w:rFonts w:ascii="黑体" w:eastAsia="黑体" w:hint="eastAsia"/>
          <w:sz w:val="44"/>
          <w:szCs w:val="44"/>
          <w:highlight w:val="none"/>
        </w:rPr>
        <w:t xml:space="preserve">录</w:t>
      </w:r>
    </w:p>
    <w:p>
      <w:pPr>
        <w:divId w:val="0"/>
        <w:spacing w:line="600" w:lineRule="exact"/>
        <w:rPr>
          <w:rFonts w:ascii="黑体" w:eastAsia="黑体" w:hint="eastAsia"/>
          <w:sz w:val="30"/>
          <w:szCs w:val="30"/>
          <w:highlight w:val="none"/>
        </w:rPr>
      </w:pP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TOC \o "1-3" \h \z \u</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lang w:val="en-US" w:eastAsia="zh-CN"/>
        </w:rPr>
        <w:fldChar w:fldCharType="begin"/>
      </w:r>
      <w:r>
        <w:rPr>
          <w:rFonts w:ascii="方正小标宋简体" w:eastAsia="方正小标宋简体" w:hAnsi="方正小标宋简体" w:cs="方正小标宋简体" w:hint="eastAsia"/>
          <w:sz w:val="30"/>
          <w:szCs w:val="30"/>
          <w:highlight w:val="none"/>
          <w:lang w:val="en-US" w:eastAsia="zh-CN"/>
        </w:rPr>
        <w:instrText xml:space="preserve"> HYPERLINK   \l " "</w:instrText>
      </w:r>
      <w:r>
        <w:rPr>
          <w:rFonts w:ascii="方正小标宋简体" w:eastAsia="方正小标宋简体" w:hAnsi="方正小标宋简体" w:cs="方正小标宋简体"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第一部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概</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况</w:t>
      </w:r>
      <w:r>
        <w:rPr>
          <w:rFonts w:ascii="仿宋" w:eastAsia="仿宋" w:hAnsi="仿宋" w:cs="仿宋" w:hint="eastAsia"/>
          <w:sz w:val="30"/>
          <w:szCs w:val="30"/>
        </w:rPr>
        <w:tab/>
      </w:r>
      <w:r>
        <w:rPr>
          <w:rFonts w:ascii="Times New Roman" w:eastAsia="方正小标宋简体" w:hAnsi="Times New Roman" w:cs="Times New Roman" w:hint="default"/>
          <w:sz w:val="30"/>
          <w:szCs w:val="30"/>
        </w:rPr>
        <w:fldChar w:fldCharType="begin"/>
      </w:r>
      <w:r>
        <w:rPr>
          <w:rFonts w:ascii="Times New Roman" w:eastAsia="方正小标宋简体" w:hAnsi="Times New Roman" w:cs="Times New Roman" w:hint="default"/>
          <w:sz w:val="30"/>
          <w:szCs w:val="30"/>
        </w:rPr>
        <w:instrText xml:space="preserve"> PAGEREF _Toc5805 \h </w:instrText>
      </w:r>
      <w:r>
        <w:rPr>
          <w:rFonts w:ascii="Times New Roman" w:eastAsia="方正小标宋简体" w:hAnsi="Times New Roman" w:cs="Times New Roman" w:hint="default"/>
          <w:sz w:val="30"/>
          <w:szCs w:val="30"/>
        </w:rPr>
        <w:fldChar w:fldCharType="separate"/>
      </w:r>
      <w:r>
        <w:rPr>
          <w:rFonts w:ascii="Times New Roman" w:eastAsia="方正小标宋简体" w:hAnsi="Times New Roman" w:cs="Times New Roman" w:hint="default"/>
          <w:sz w:val="30"/>
          <w:szCs w:val="30"/>
        </w:rPr>
        <w:t xml:space="preserve">1</w:t>
      </w:r>
      <w:r>
        <w:rPr>
          <w:rFonts w:ascii="Times New Roman" w:eastAsia="方正小标宋简体" w:hAnsi="Times New Roman" w:cs="Times New Roman" w:hint="default"/>
          <w:sz w:val="30"/>
          <w:szCs w:val="30"/>
        </w:rPr>
        <w:fldChar w:fldCharType="end"/>
      </w:r>
      <w:r>
        <w:rPr>
          <w:rFonts w:ascii="方正小标宋简体" w:eastAsia="方正小标宋简体" w:hAnsi="方正小标宋简体" w:cs="方正小标宋简体"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rPr>
        <w:t xml:space="preserve">一、主要职责</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_Toc32589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rPr>
        <w:t xml:space="preserve">二、机构设置</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_Toc12571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第二部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lang w:eastAsia="zh-CN"/>
        </w:rPr>
        <w:t xml:space="preserve">202</w:t>
      </w:r>
      <w:r>
        <w:rPr>
          <w:rFonts w:ascii="方正小标宋简体" w:eastAsia="方正小标宋简体" w:hAnsi="方正小标宋简体" w:cs="方正小标宋简体" w:hint="eastAsia"/>
          <w:sz w:val="30"/>
          <w:szCs w:val="30"/>
          <w:highlight w:val="none"/>
          <w:lang w:val="en-US" w:eastAsia="zh-CN"/>
        </w:rPr>
        <w:t xml:space="preserve">5</w:t>
      </w:r>
      <w:r>
        <w:rPr>
          <w:rFonts w:ascii="方正小标宋简体" w:eastAsia="方正小标宋简体" w:hAnsi="方正小标宋简体" w:cs="方正小标宋简体" w:hint="eastAsia"/>
          <w:sz w:val="30"/>
          <w:szCs w:val="30"/>
          <w:highlight w:val="none"/>
        </w:rPr>
        <w:t xml:space="preserve">年度</w:t>
      </w:r>
      <w:r>
        <w:rPr>
          <w:rFonts w:ascii="方正小标宋简体" w:eastAsia="方正小标宋简体" w:hAnsi="方正小标宋简体" w:cs="方正小标宋简体" w:hint="eastAsia"/>
          <w:sz w:val="30"/>
          <w:szCs w:val="30"/>
          <w:highlight w:val="none"/>
          <w:lang w:val="en-US" w:eastAsia="zh-CN"/>
        </w:rPr>
        <w:t xml:space="preserve">单位</w:t>
      </w:r>
      <w:r>
        <w:rPr>
          <w:rFonts w:ascii="方正小标宋简体" w:eastAsia="方正小标宋简体" w:hAnsi="方正小标宋简体" w:cs="方正小标宋简体" w:hint="eastAsia"/>
          <w:sz w:val="30"/>
          <w:szCs w:val="30"/>
          <w:highlight w:val="none"/>
        </w:rPr>
        <w:t xml:space="preserve">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_Toc6935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一、《收入支出决算总表》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_Toc22430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二、《收入决算表（按功能分类列示）》</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_Toc2179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三、《收入决算表（按单位列示）》</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_Toc150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5</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四、《支出决算表》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_Toc32133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6</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五、《财政拨款收入支出决算总表》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_Toc1775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7</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六、《一般公共预算财政拨款支出决算表》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_Toc6908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七、《一般公共预算财政拨款基本支出决算表》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_Toc31529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八、《政府性基金预算财政拨款收入支出决算表》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_Toc15896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九、《国有资本经营预算财政拨款收入支出决算表》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_Toc24983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15</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十、《财政拨</w:t>
      </w:r>
      <w:r>
        <w:rPr>
          <w:rFonts w:ascii="仿宋" w:eastAsia="仿宋" w:hAnsi="仿宋" w:cs="仿宋" w:hint="eastAsia"/>
          <w:bCs/>
          <w:sz w:val="30"/>
          <w:szCs w:val="30"/>
          <w:lang w:val="en-US" w:eastAsia="zh-CN"/>
        </w:rPr>
        <w:t xml:space="preserve">款</w:t>
      </w:r>
      <w:r>
        <w:rPr>
          <w:rFonts w:ascii="仿宋" w:eastAsia="仿宋" w:hAnsi="仿宋" w:cs="仿宋" w:hint="eastAsia"/>
          <w:bCs/>
          <w:sz w:val="30"/>
          <w:szCs w:val="30"/>
          <w:lang w:val="en-US" w:eastAsia="zh-CN"/>
        </w:rPr>
        <w:t xml:space="preserve">“</w:t>
      </w:r>
      <w:r>
        <w:rPr>
          <w:rFonts w:ascii="仿宋" w:eastAsia="仿宋" w:hAnsi="仿宋" w:cs="仿宋" w:hint="eastAsia"/>
          <w:bCs/>
          <w:sz w:val="30"/>
          <w:szCs w:val="30"/>
          <w:lang w:val="en-US" w:eastAsia="zh-CN"/>
        </w:rPr>
        <w:t xml:space="preserve">三</w:t>
      </w:r>
      <w:r>
        <w:rPr>
          <w:rFonts w:ascii="仿宋" w:eastAsia="仿宋" w:hAnsi="仿宋" w:cs="仿宋" w:hint="eastAsia"/>
          <w:bCs/>
          <w:sz w:val="30"/>
          <w:szCs w:val="30"/>
          <w:lang w:val="en-US" w:eastAsia="zh-CN"/>
        </w:rPr>
        <w:t xml:space="preserve">公</w:t>
      </w:r>
      <w:r>
        <w:rPr>
          <w:rFonts w:ascii="仿宋" w:eastAsia="仿宋" w:hAnsi="仿宋" w:cs="仿宋" w:hint="eastAsia"/>
          <w:bCs/>
          <w:sz w:val="30"/>
          <w:szCs w:val="30"/>
          <w:lang w:val="en-US" w:eastAsia="zh-CN"/>
        </w:rPr>
        <w:t xml:space="preserve">”</w:t>
      </w:r>
      <w:r>
        <w:rPr>
          <w:rFonts w:ascii="仿宋" w:eastAsia="仿宋" w:hAnsi="仿宋" w:cs="仿宋" w:hint="eastAsia"/>
          <w:bCs/>
          <w:sz w:val="30"/>
          <w:szCs w:val="30"/>
          <w:lang w:val="en-US" w:eastAsia="zh-CN"/>
        </w:rPr>
        <w:t xml:space="preserve">经费支出决算表》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_Toc11809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16</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十一、《项目支出决算表》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_Toc28580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17</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bCs w:val="0"/>
          <w:sz w:val="30"/>
          <w:szCs w:val="30"/>
          <w:lang w:val="en-US" w:eastAsia="zh-CN"/>
        </w:rPr>
        <w:t xml:space="preserve">第三部</w:t>
      </w:r>
      <w:r>
        <w:rPr>
          <w:rFonts w:ascii="方正小标宋简体" w:eastAsia="方正小标宋简体" w:hAnsi="方正小标宋简体" w:cs="方正小标宋简体" w:hint="eastAsia"/>
          <w:bCs w:val="0"/>
          <w:sz w:val="30"/>
          <w:szCs w:val="30"/>
          <w:lang w:val="en-US" w:eastAsia="zh-CN"/>
        </w:rPr>
        <w:t xml:space="preserve">分</w:t>
      </w:r>
      <w:r>
        <w:rPr>
          <w:rFonts w:ascii="方正小标宋简体" w:eastAsia="方正小标宋简体" w:hAnsi="方正小标宋简体" w:cs="方正小标宋简体" w:hint="eastAsia"/>
          <w:bCs w:val="0"/>
          <w:sz w:val="30"/>
          <w:szCs w:val="30"/>
          <w:lang w:val="en-US" w:eastAsia="zh-CN"/>
        </w:rPr>
        <w:t xml:space="preserve">  202</w:t>
      </w:r>
      <w:r>
        <w:rPr>
          <w:rFonts w:ascii="方正小标宋简体" w:eastAsia="方正小标宋简体" w:hAnsi="方正小标宋简体" w:cs="方正小标宋简体" w:hint="eastAsia"/>
          <w:bCs w:val="0"/>
          <w:sz w:val="30"/>
          <w:szCs w:val="30"/>
          <w:lang w:val="en-US" w:eastAsia="zh-CN"/>
        </w:rPr>
        <w:t xml:space="preserve">5</w:t>
      </w:r>
      <w:r>
        <w:rPr>
          <w:rFonts w:ascii="方正小标宋简体" w:eastAsia="方正小标宋简体" w:hAnsi="方正小标宋简体" w:cs="方正小标宋简体" w:hint="eastAsia"/>
          <w:bCs w:val="0"/>
          <w:sz w:val="30"/>
          <w:szCs w:val="30"/>
          <w:lang w:val="en-US" w:eastAsia="zh-CN"/>
        </w:rPr>
        <w:t xml:space="preserve">年度单位决算情况说明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_Toc4394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19</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一、收入支出决算总体情况说明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_Toc10264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19</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二、收入决算情况说明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_Toc10173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19</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三、支出决算情况说明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_Toc30390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19</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四、财政拨款收支决算总体情况说明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_Toc3712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五、一般公共预算财政拨款支出决算情况说明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_Toc11697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六、一般公共预算财政拨款基本支出决算情况</w:t>
      </w:r>
      <w:r>
        <w:rPr>
          <w:rFonts w:ascii="仿宋" w:eastAsia="仿宋" w:hAnsi="仿宋" w:cs="仿宋" w:hint="eastAsia"/>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_Toc32353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七</w:t>
      </w:r>
      <w:r>
        <w:rPr>
          <w:rFonts w:ascii="仿宋" w:eastAsia="仿宋" w:hAnsi="仿宋" w:cs="仿宋" w:hint="eastAsia"/>
          <w:sz w:val="30"/>
          <w:szCs w:val="30"/>
          <w:highlight w:val="none"/>
        </w:rPr>
        <w:t xml:space="preserve">、政府性基金预算财政拨款收支决算情况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_Toc7101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八</w:t>
      </w:r>
      <w:r>
        <w:rPr>
          <w:rFonts w:ascii="仿宋" w:eastAsia="仿宋" w:hAnsi="仿宋" w:cs="仿宋" w:hint="eastAsia"/>
          <w:sz w:val="30"/>
          <w:szCs w:val="30"/>
          <w:highlight w:val="none"/>
        </w:rPr>
        <w:t xml:space="preserve">、国有资本经营预算财政拨款收支决算情况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_Toc1743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九</w:t>
      </w:r>
      <w:r>
        <w:rPr>
          <w:rFonts w:ascii="仿宋" w:eastAsia="仿宋" w:hAnsi="仿宋" w:cs="仿宋" w:hint="eastAsia"/>
          <w:sz w:val="30"/>
          <w:szCs w:val="30"/>
          <w:highlight w:val="none"/>
        </w:rPr>
        <w:t xml:space="preserve">、财政拨</w:t>
      </w:r>
      <w:r>
        <w:rPr>
          <w:rFonts w:ascii="仿宋" w:eastAsia="仿宋" w:hAnsi="仿宋" w:cs="仿宋" w:hint="eastAsia"/>
          <w:sz w:val="30"/>
          <w:szCs w:val="30"/>
          <w:highlight w:val="none"/>
        </w:rPr>
        <w:t xml:space="preserve">款</w:t>
      </w:r>
      <w:r>
        <w:rPr>
          <w:rFonts w:ascii="仿宋" w:eastAsia="仿宋" w:hAnsi="仿宋" w:cs="仿宋" w:hint="eastAsia"/>
          <w:sz w:val="30"/>
          <w:szCs w:val="30"/>
          <w:highlight w:val="none"/>
        </w:rPr>
        <w:t xml:space="preserve">“</w:t>
      </w:r>
      <w:r>
        <w:rPr>
          <w:rFonts w:ascii="仿宋" w:eastAsia="仿宋" w:hAnsi="仿宋" w:cs="仿宋" w:hint="eastAsia"/>
          <w:sz w:val="30"/>
          <w:szCs w:val="30"/>
          <w:highlight w:val="none"/>
        </w:rPr>
        <w:t xml:space="preserve">三</w:t>
      </w:r>
      <w:r>
        <w:rPr>
          <w:rFonts w:ascii="仿宋" w:eastAsia="仿宋" w:hAnsi="仿宋" w:cs="仿宋" w:hint="eastAsia"/>
          <w:sz w:val="30"/>
          <w:szCs w:val="30"/>
          <w:highlight w:val="none"/>
        </w:rPr>
        <w:t xml:space="preserve">公</w:t>
      </w:r>
      <w:r>
        <w:rPr>
          <w:rFonts w:ascii="仿宋" w:eastAsia="仿宋" w:hAnsi="仿宋" w:cs="仿宋" w:hint="eastAsia"/>
          <w:sz w:val="30"/>
          <w:szCs w:val="30"/>
          <w:highlight w:val="none"/>
        </w:rPr>
        <w:t xml:space="preserve">”</w:t>
      </w:r>
      <w:r>
        <w:rPr>
          <w:rFonts w:ascii="仿宋" w:eastAsia="仿宋" w:hAnsi="仿宋" w:cs="仿宋" w:hint="eastAsia"/>
          <w:sz w:val="30"/>
          <w:szCs w:val="30"/>
          <w:highlight w:val="none"/>
        </w:rPr>
        <w:t xml:space="preserve">经费支出决算情况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_Toc26580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十、机关运行经费支出情况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_Toc23303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一</w:t>
      </w:r>
      <w:r>
        <w:rPr>
          <w:rFonts w:ascii="仿宋" w:eastAsia="仿宋" w:hAnsi="仿宋" w:cs="仿宋" w:hint="eastAsia"/>
          <w:sz w:val="30"/>
          <w:szCs w:val="30"/>
          <w:highlight w:val="none"/>
        </w:rPr>
        <w:t xml:space="preserve">、政府采购支出情况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_Toc2013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二</w:t>
      </w:r>
      <w:r>
        <w:rPr>
          <w:rFonts w:ascii="仿宋" w:eastAsia="仿宋" w:hAnsi="仿宋" w:cs="仿宋" w:hint="eastAsia"/>
          <w:sz w:val="30"/>
          <w:szCs w:val="30"/>
          <w:highlight w:val="none"/>
        </w:rPr>
        <w:t xml:space="preserve">、国有资产占有使用情况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_Toc21119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lang w:val="en-US" w:eastAsia="zh-CN"/>
        </w:rPr>
        <w:t xml:space="preserve">十三、预算绩效情况说明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_Toc4570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四</w:t>
      </w:r>
      <w:r>
        <w:rPr>
          <w:rFonts w:ascii="仿宋" w:eastAsia="仿宋" w:hAnsi="仿宋" w:cs="仿宋" w:hint="eastAsia"/>
          <w:sz w:val="30"/>
          <w:szCs w:val="30"/>
          <w:highlight w:val="none"/>
        </w:rPr>
        <w:t xml:space="preserve">、教育、医疗卫生、社会保障和就业、住房保障、涉农补贴等民生支出情况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_Toc32245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第四部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名词解释</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_Toc25423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25</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Times New Roman" w:eastAsia="方正仿宋_GB2312" w:hAnsi="Times New Roman"/>
          <w:sz w:val="32"/>
          <w:szCs w:val="32"/>
          <w:highlight w:val="none"/>
        </w:rPr>
        <w:sectPr>
          <w:footerReference w:type="default" r:id="rId4"/>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r>
        <w:rPr>
          <w:rFonts w:ascii="仿宋" w:eastAsia="仿宋" w:hAnsi="仿宋" w:cs="仿宋" w:hint="eastAsia"/>
          <w:sz w:val="30"/>
          <w:szCs w:val="30"/>
          <w:highlight w:val="none"/>
          <w:lang w:val="en-US" w:eastAsia="zh-CN"/>
        </w:rPr>
        <w:fldChar w:fldCharType="end"/>
      </w:r>
    </w:p>
    <w:p>
      <w:pPr>
        <w:rPr>
          <w:rFonts w:hint="eastAsia"/>
          <w:highlight w:val="none"/>
        </w:rPr>
      </w:pPr>
    </w:p>
    <w:p>
      <w:pPr>
        <w:pStyle w:val="标题1"/>
        <w:spacing w:before="0" w:after="0" w:line="600" w:lineRule="exact"/>
        <w:jc w:val="center"/>
        <w:rPr>
          <w:rFonts w:ascii="方正小标宋简体" w:eastAsia="方正小标宋简体" w:hAnsi="方正小标宋简体" w:cs="方正小标宋简体" w:hint="eastAsia"/>
          <w:b w:val="0"/>
          <w:sz w:val="48"/>
          <w:szCs w:val="48"/>
          <w:highlight w:val="none"/>
        </w:rPr>
      </w:pPr>
    </w:p>
    <w:p>
      <w:pPr>
        <w:pStyle w:val="标题1"/>
        <w:spacing w:before="0" w:after="0" w:line="600" w:lineRule="exact"/>
        <w:jc w:val="center"/>
        <w:rPr>
          <w:rFonts w:ascii="方正小标宋简体" w:eastAsia="方正小标宋简体" w:hAnsi="方正小标宋简体" w:cs="方正小标宋简体"/>
          <w:b w:val="0"/>
          <w:sz w:val="44"/>
          <w:szCs w:val="44"/>
          <w:highlight w:val="none"/>
        </w:rPr>
      </w:pPr>
      <w:bookmarkStart w:id="0" w:name="_Toc5805"/>
      <w:r>
        <w:rPr>
          <w:rFonts w:ascii="方正小标宋简体" w:eastAsia="方正小标宋简体" w:hAnsi="方正小标宋简体" w:cs="方正小标宋简体" w:hint="eastAsia"/>
          <w:b w:val="0"/>
          <w:lang w:val="en-US" w:eastAsia="zh-CN"/>
        </w:rPr>
        <w:t xml:space="preserve">第一部分  概 况</w:t>
      </w:r>
      <w:bookmarkEnd w:id="0"/>
    </w:p>
    <w:p>
      <w:pPr>
        <w:divId w:val="0"/>
        <w:spacing w:line="600" w:lineRule="exact"/>
        <w:rPr>
          <w:rFonts w:hint="eastAsia"/>
          <w:highlight w:val="none"/>
        </w:rPr>
      </w:pPr>
    </w:p>
    <w:p>
      <w:pPr>
        <w:pStyle w:val="标题2"/>
        <w:wordWrap w:val="0"/>
        <w:spacing w:before="0" w:after="0" w:line="800" w:lineRule="exact"/>
        <w:ind w:firstLine="600" w:firstLineChars="200"/>
        <w:rPr>
          <w:rFonts w:ascii="黑体" w:eastAsia="黑体" w:hAnsi="黑体" w:hint="eastAsia"/>
          <w:b w:val="0"/>
          <w:bCs w:val="0"/>
          <w:sz w:val="30"/>
          <w:szCs w:val="30"/>
          <w:highlight w:val="none"/>
        </w:rPr>
      </w:pPr>
      <w:bookmarkStart w:id="1" w:name="_Toc32589"/>
      <w:r>
        <w:rPr>
          <w:rFonts w:ascii="黑体" w:eastAsia="黑体" w:hAnsi="黑体" w:hint="eastAsia"/>
          <w:sz w:val="30"/>
          <w:szCs w:val="30"/>
          <w:lang w:val="en-US" w:eastAsia="zh-CN"/>
        </w:rPr>
        <w:t xml:space="preserve">一、主要职责</w:t>
      </w:r>
      <w:bookmarkEnd w:id="1"/>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天津市西青区启智学校</w:t>
      </w:r>
      <w:r>
        <w:rPr>
          <w:rFonts w:eastAsia="仿宋_GB2312" w:hint="eastAsia"/>
          <w:sz w:val="30"/>
          <w:szCs w:val="30"/>
          <w:highlight w:val="none"/>
          <w:lang w:val="en-US" w:eastAsia="zh-CN"/>
        </w:rPr>
        <w:t xml:space="preserve">的主要职责是</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我校隶属于天津市西青区教育局，是西青区唯一一所特殊教育学校，主要从事特殊教育工作。我校秉承“挖掘潜力，一切为了孩子们的将来”的办学理念，以提高“生存能力，学会适应生活”为办学目标，强化特殊儿童融入社会能力的养成，最大限度的促进每个学生的发展</w:t>
      </w:r>
      <w:r>
        <w:rPr>
          <w:rFonts w:eastAsia="仿宋_GB2312" w:hint="eastAsia"/>
          <w:sz w:val="30"/>
          <w:szCs w:val="30"/>
          <w:highlight w:val="none"/>
          <w:lang w:val="en-US" w:eastAsia="zh-CN"/>
        </w:rPr>
        <w:t xml:space="preserve">。</w:t>
      </w:r>
    </w:p>
    <w:p>
      <w:pPr>
        <w:pStyle w:val="标题2"/>
        <w:spacing w:before="0" w:after="0" w:line="600" w:lineRule="exact"/>
        <w:ind w:firstLine="600" w:firstLineChars="200"/>
        <w:rPr>
          <w:rFonts w:ascii="黑体" w:eastAsia="黑体" w:hAnsi="黑体" w:hint="eastAsia"/>
          <w:b w:val="0"/>
          <w:bCs w:val="0"/>
          <w:sz w:val="30"/>
          <w:szCs w:val="30"/>
          <w:highlight w:val="none"/>
        </w:rPr>
      </w:pPr>
      <w:bookmarkStart w:id="2" w:name="_Toc12571"/>
      <w:r>
        <w:rPr>
          <w:rFonts w:ascii="黑体" w:eastAsia="黑体" w:hAnsi="黑体" w:hint="eastAsia"/>
          <w:sz w:val="30"/>
          <w:szCs w:val="30"/>
          <w:lang w:val="en-US" w:eastAsia="zh-CN"/>
        </w:rPr>
        <w:t xml:space="preserve">二、机构设置</w:t>
      </w:r>
      <w:bookmarkEnd w:id="2"/>
    </w:p>
    <w:p>
      <w:pPr>
        <w:divId w:val="0"/>
        <w:spacing w:line="600" w:lineRule="exact"/>
        <w:ind w:firstLine="600"/>
        <w:rPr>
          <w:rFonts w:eastAsia="方正仿宋_GB2312" w:hint="eastAsia"/>
          <w:sz w:val="30"/>
          <w:szCs w:val="30"/>
          <w:highlight w:val="none"/>
          <w:lang w:val="en-US" w:eastAsia="zh-CN"/>
        </w:rPr>
      </w:pPr>
      <w:r>
        <w:rPr>
          <w:rFonts w:eastAsia="仿宋_GB2312" w:hint="eastAsia"/>
          <w:sz w:val="30"/>
          <w:szCs w:val="30"/>
          <w:highlight w:val="none"/>
          <w:lang w:val="en-US" w:eastAsia="zh-CN"/>
        </w:rPr>
        <w:t xml:space="preserve">纳</w:t>
      </w:r>
      <w:r>
        <w:rPr>
          <w:rFonts w:eastAsia="仿宋_GB2312" w:hint="eastAsia"/>
          <w:sz w:val="30"/>
          <w:szCs w:val="30"/>
          <w:highlight w:val="none"/>
          <w:lang w:val="en-US" w:eastAsia="zh-CN"/>
        </w:rPr>
        <w:t xml:space="preserve">入</w:t>
      </w:r>
      <w:r>
        <w:rPr>
          <w:rFonts w:eastAsia="仿宋_GB2312" w:hint="eastAsia"/>
          <w:sz w:val="30"/>
          <w:szCs w:val="30"/>
          <w:highlight w:val="none"/>
          <w:lang w:val="en-US" w:eastAsia="zh-CN"/>
        </w:rPr>
        <w:t xml:space="preserve">天津市西青区启智学校</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年度单位决算编制范围的单位包括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单位本级（内设7个职能科室）。</w:t>
      </w:r>
    </w:p>
    <w:p>
      <w:pPr>
        <w:divId w:val="0"/>
        <w:spacing w:line="600" w:lineRule="exact"/>
        <w:rPr>
          <w:rFonts w:eastAsia="方正楷体_GB2312" w:hint="eastAsia"/>
          <w:b/>
          <w:sz w:val="30"/>
          <w:szCs w:val="30"/>
          <w:highlight w:val="none"/>
        </w:rPr>
      </w:pPr>
      <w:r>
        <w:rPr>
          <w:rFonts w:eastAsia="方正楷体_GB2312"/>
          <w:b/>
          <w:sz w:val="30"/>
          <w:szCs w:val="30"/>
          <w:highlight w:val="none"/>
        </w:rPr>
        <w:br w:type="page"/>
      </w: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bookmarkStart w:id="3" w:name="_Toc6935"/>
      <w:r>
        <w:rPr>
          <w:rFonts w:ascii="方正小标宋简体" w:eastAsia="方正小标宋简体" w:hAnsi="方正小标宋简体" w:cs="方正小标宋简体" w:hint="eastAsia"/>
          <w:b w:val="0"/>
          <w:bCs w:val="0"/>
          <w:lang w:val="en-US" w:eastAsia="zh-CN"/>
        </w:rPr>
        <w:t xml:space="preserve">第二部分  2025年度单位决算表</w:t>
      </w:r>
      <w:bookmarkEnd w:id="3"/>
    </w:p>
    <w:p>
      <w:pPr>
        <w:pStyle w:val="标题1"/>
        <w:wordWrap w:val="0"/>
        <w:spacing w:before="0" w:after="0" w:line="600" w:lineRule="exact"/>
        <w:jc w:val="left"/>
        <w:rPr>
          <w:rFonts w:ascii="黑体" w:eastAsia="黑体" w:hAnsi="黑体" w:hint="eastAsia"/>
          <w:sz w:val="30"/>
          <w:szCs w:val="30"/>
          <w:lang w:val="en-US" w:eastAsia="zh-CN"/>
        </w:rPr>
      </w:pPr>
      <w:r>
        <w:rPr>
          <w:rFonts w:ascii="方正小标宋简体" w:eastAsia="方正小标宋简体" w:hAnsi="方正小标宋简体" w:cs="方正小标宋简体" w:hint="eastAsia"/>
          <w:b w:val="0"/>
          <w:bCs w:val="0"/>
          <w:lang w:val="en-US" w:eastAsia="zh-CN"/>
        </w:rPr>
        <w:br w:type="page"/>
      </w:r>
      <w:bookmarkStart w:id="4" w:name="_Toc22430"/>
      <w:r>
        <w:rPr>
          <w:rFonts w:ascii="黑体" w:eastAsia="黑体" w:hAnsi="黑体" w:hint="eastAsia"/>
          <w:sz w:val="30"/>
          <w:szCs w:val="30"/>
          <w:lang w:val="en-US" w:eastAsia="zh-CN"/>
        </w:rPr>
        <w:t xml:space="preserve">一、《收入支出决算总表》</w:t>
      </w:r>
      <w:bookmarkEnd w:id="4"/>
    </w:p>
    <w:tbl>
      <w:tblPr>
        <w:tblStyle w:val="普通表格"/>
        <w:tblW w:w="979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3351"/>
        <w:gridCol w:w="1632"/>
        <w:gridCol w:w="3180"/>
        <w:gridCol w:w="1632"/>
      </w:tblGrid>
      <w:tr>
        <w:tblPrEx>
          <w:tblW w:w="979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exact" w:val="397"/>
          <w:jc w:val="center"/>
        </w:trPr>
        <w:tc>
          <w:tcPr>
            <w:tcW w:w="1701" w:type="dxa"/>
            <w:gridSpan w:val="2"/>
            <w:tcBorders>
              <w:top w:val="nil"/>
              <w:left w:val="nil"/>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天津市西青区启智学校</w:t>
            </w:r>
          </w:p>
        </w:tc>
        <w:tc>
          <w:tcPr>
            <w:tcW w:w="1701" w:type="dxa"/>
            <w:gridSpan w:val="2"/>
            <w:tcBorders>
              <w:top w:val="nil"/>
              <w:left w:val="nil"/>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9795" w:type="dxa"/>
          <w:jc w:val="center"/>
          <w:tblLayout w:type="fixed"/>
          <w:tblCellMar>
            <w:top w:w="0" w:type="dxa"/>
            <w:left w:w="108" w:type="dxa"/>
            <w:bottom w:w="0" w:type="dxa"/>
            <w:right w:w="108" w:type="dxa"/>
          </w:tblCellMar>
          <w:tblLook w:val="0000"/>
        </w:tblPrEx>
        <w:trPr>
          <w:trHeight w:hRule="exact" w:val="397"/>
          <w:jc w:val="center"/>
        </w:trPr>
        <w:tc>
          <w:tcPr>
            <w:tcW w:w="1701" w:type="dxa"/>
            <w:gridSpan w:val="2"/>
            <w:tcBorders>
              <w:top w:val="single" w:sz="4" w:space="0" w:color="000000"/>
              <w:left w:val="single" w:sz="4" w:space="0" w:color="000000"/>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w:t>
            </w:r>
          </w:p>
        </w:tc>
        <w:tc>
          <w:tcPr>
            <w:tcW w:w="1701" w:type="dxa"/>
            <w:gridSpan w:val="2"/>
            <w:tcBorders>
              <w:top w:val="single" w:sz="4" w:space="0" w:color="000000"/>
              <w:left w:val="nil"/>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w:t>
            </w:r>
          </w:p>
        </w:tc>
      </w:tr>
      <w:tr>
        <w:tblPrEx>
          <w:tblW w:w="9795" w:type="dxa"/>
          <w:jc w:val="center"/>
          <w:tblLayout w:type="fixed"/>
          <w:tblCellMar>
            <w:top w:w="0" w:type="dxa"/>
            <w:left w:w="108" w:type="dxa"/>
            <w:bottom w:w="0" w:type="dxa"/>
            <w:right w:w="108" w:type="dxa"/>
          </w:tblCellMar>
          <w:tblLook w:val="0000"/>
        </w:tblPrEx>
        <w:trPr>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一、一般公共预算财政拨款收入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tabs>
                <w:tab w:val="left" w:pos="1920"/>
              </w:tabs>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13350887.23</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一、一般公共服务支出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二、政府性基金预算财政拨款收入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二、公共安全支出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三、国有资本经营预算财政拨款收入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三、教育支出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13270813.50</w:t>
            </w:r>
          </w:p>
        </w:tc>
      </w:tr>
      <w:tr>
        <w:tblPrEx>
          <w:tblW w:w="9795" w:type="dxa"/>
          <w:jc w:val="center"/>
          <w:tblLayout w:type="fixed"/>
          <w:tblCellMar>
            <w:top w:w="0" w:type="dxa"/>
            <w:left w:w="108" w:type="dxa"/>
            <w:bottom w:w="0" w:type="dxa"/>
            <w:right w:w="108" w:type="dxa"/>
          </w:tblCellMar>
          <w:tblLook w:val="0000"/>
        </w:tblPrEx>
        <w:trPr>
          <w:cantSplit/>
          <w:trHeight w:hRule="exact" w:val="368"/>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四、财政专户管理资金</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四、科学技术支出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五、事业收入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五、文化旅游体育与传媒支出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六、事业单位经营收入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六、社会保障和就业支出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80073.73</w:t>
            </w: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七、上级补助收入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七、卫生健康支出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八、附属单位上缴收入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八、节能环保支出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九、其他收入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九、城乡社区支出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十、农林水支出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十一、交通运输支出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十二、资源勘探工业信息等支出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十三、商业服务业等支出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十四、金融支出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十五、援助其他地区支出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十六、自然资源海洋气象等支出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十七、住房保障支出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十八、粮油物资储备支出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十九、国有资本经营预算支出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二十、灾害防治及应急管理支出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二十一、其他支出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二十二、债务付息支出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二十三、抗疫特别国债安排的支出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本年收入合计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13350887.23</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本年支出合计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13350887.23</w:t>
            </w: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w w:val="90"/>
                <w:kern w:val="0.0"/>
                <w:sz w:val="20"/>
                <w:szCs w:val="20"/>
                <w:u w:val="none"/>
                <w:lang w:val="en-US" w:eastAsia="zh-CN"/>
              </w:rPr>
              <w:t xml:space="preserve">十、使用非财政拨款结余</w:t>
            </w:r>
            <w:r>
              <w:rPr>
                <w:rFonts w:ascii="宋体" w:hAnsi="宋体" w:cs="宋体" w:hint="eastAsia"/>
                <w:i w:val="0"/>
                <w:iCs w:val="0"/>
                <w:color w:val="000000"/>
                <w:w w:val="90"/>
                <w:kern w:val="0.0"/>
                <w:sz w:val="20"/>
                <w:szCs w:val="20"/>
                <w:u w:val="none"/>
                <w:lang w:val="en-US" w:eastAsia="zh-CN"/>
              </w:rPr>
              <w:t xml:space="preserve">（含专用结余）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二十四、结余分配</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十一、年初结转和结余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二十五、年末结转和结余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其中：财政拨款结转和结余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600" w:leftChars="0" w:rightChars="0" w:firstLineChars="30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其他结转和结余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收入总计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13350887.23</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支出总计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13350887.23</w:t>
            </w:r>
          </w:p>
        </w:tc>
      </w:tr>
      <w:tr>
        <w:tblPrEx>
          <w:tblW w:w="9795" w:type="dxa"/>
          <w:jc w:val="center"/>
          <w:tblLayout w:type="fixed"/>
          <w:tblCellMar>
            <w:top w:w="0" w:type="dxa"/>
            <w:left w:w="108" w:type="dxa"/>
            <w:bottom w:w="0" w:type="dxa"/>
            <w:right w:w="108" w:type="dxa"/>
          </w:tblCellMar>
          <w:tblLook w:val="0000"/>
        </w:tblPrEx>
        <w:trPr>
          <w:trHeight w:val="315"/>
          <w:jc w:val="center"/>
        </w:trPr>
        <w:tc>
          <w:tcPr>
            <w:tcW w:w="1701" w:type="dxa"/>
            <w:gridSpan w:val="4"/>
            <w:tcBorders>
              <w:top w:val="nil"/>
              <w:left w:val="nil"/>
              <w:bottom w:val="nil"/>
              <w:right w:val="nil"/>
            </w:tcBorders>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注：本表反映本年度的总收支和年末结转结余情况。财政专户管理资金是指教育收费；事业收入不含教育收费。</w:t>
            </w:r>
          </w:p>
        </w:tc>
      </w:tr>
    </w:tbl>
    <w:p>
      <w:pPr>
        <w:rPr>
          <w:rFonts w:hint="eastAsia"/>
          <w:lang w:val="en-US" w:eastAsia="zh-CN"/>
        </w:rPr>
        <w:sectPr>
          <w:footerReference w:type="default" r:id="rId5"/>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p>
    <w:p>
      <w:pPr>
        <w:pStyle w:val="标题2"/>
        <w:wordWrap w:val="0"/>
        <w:spacing w:before="0" w:after="0" w:line="800" w:lineRule="exact"/>
        <w:ind w:firstLine="600" w:firstLineChars="200"/>
        <w:rPr>
          <w:rFonts w:ascii="黑体" w:eastAsia="黑体" w:hAnsi="黑体" w:hint="eastAsia"/>
          <w:sz w:val="30"/>
          <w:szCs w:val="30"/>
          <w:lang w:val="en-US" w:eastAsia="zh-CN"/>
        </w:rPr>
      </w:pPr>
      <w:bookmarkStart w:id="5" w:name="_Toc2179"/>
      <w:r>
        <w:rPr>
          <w:rFonts w:ascii="黑体" w:eastAsia="黑体" w:hAnsi="黑体" w:hint="eastAsia"/>
          <w:sz w:val="30"/>
          <w:szCs w:val="30"/>
          <w:lang w:val="en-US" w:eastAsia="zh-CN"/>
        </w:rPr>
        <w:t xml:space="preserve">二、《收入决算表（按功能分类列示）》</w:t>
      </w:r>
      <w:bookmarkEnd w:id="5"/>
    </w:p>
    <w:tbl>
      <w:tblPr>
        <w:tblStyle w:val="普通表格"/>
        <w:tblW w:w="162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1082"/>
        <w:gridCol w:w="2512"/>
        <w:gridCol w:w="1587"/>
        <w:gridCol w:w="1587"/>
        <w:gridCol w:w="1587"/>
        <w:gridCol w:w="1587"/>
        <w:gridCol w:w="1587"/>
        <w:gridCol w:w="1587"/>
        <w:gridCol w:w="1587"/>
        <w:gridCol w:w="1587"/>
      </w:tblGrid>
      <w:tr>
        <w:tblPrEx>
          <w:tblW w:w="162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tblHeader/>
          <w:jc w:val="center"/>
        </w:trPr>
        <w:tc>
          <w:tcPr>
            <w:tcW w:w="9942" w:type="dxa"/>
            <w:gridSpan w:val="6"/>
            <w:tcBorders>
              <w:top w:val="nil"/>
              <w:left w:val="nil"/>
              <w:bottom w:val="single" w:sz="4" w:space="0" w:color="auto"/>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4"/>
                <w:szCs w:val="24"/>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天津市西青区启智学校</w:t>
            </w:r>
          </w:p>
        </w:tc>
        <w:tc>
          <w:tcPr>
            <w:tcW w:w="1587" w:type="dxa"/>
            <w:tcBorders>
              <w:top w:val="nil"/>
              <w:left w:val="nil"/>
              <w:bottom w:val="single" w:sz="4" w:space="0" w:color="auto"/>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4"/>
                <w:szCs w:val="24"/>
                <w:u w:val="none"/>
              </w:rPr>
            </w:pPr>
          </w:p>
        </w:tc>
        <w:tc>
          <w:tcPr>
            <w:tcW w:w="1587" w:type="dxa"/>
            <w:tcBorders>
              <w:top w:val="nil"/>
              <w:left w:val="nil"/>
              <w:bottom w:val="single" w:sz="4" w:space="0" w:color="auto"/>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4"/>
                <w:szCs w:val="24"/>
                <w:u w:val="none"/>
              </w:rPr>
            </w:pPr>
          </w:p>
        </w:tc>
        <w:tc>
          <w:tcPr>
            <w:tcW w:w="3174" w:type="dxa"/>
            <w:gridSpan w:val="2"/>
            <w:tcBorders>
              <w:top w:val="nil"/>
              <w:left w:val="nil"/>
              <w:bottom w:val="single" w:sz="4" w:space="0" w:color="auto"/>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2"/>
                <w:szCs w:val="22"/>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3594" w:type="dxa"/>
            <w:gridSpan w:val="2"/>
            <w:tcBorders>
              <w:top w:val="single" w:sz="4" w:space="0" w:color="auto"/>
              <w:left w:val="single" w:sz="4" w:space="0" w:color="auto"/>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本年收入合计</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财政拨款收入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上级补助收入</w:t>
            </w:r>
          </w:p>
        </w:tc>
        <w:tc>
          <w:tcPr>
            <w:tcW w:w="3174" w:type="dxa"/>
            <w:gridSpan w:val="2"/>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事业收入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经营收入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附属单位上缴收入</w:t>
            </w:r>
          </w:p>
        </w:tc>
        <w:tc>
          <w:tcPr>
            <w:tcW w:w="1587" w:type="dxa"/>
            <w:vMerge w:val="restart"/>
            <w:tcBorders>
              <w:top w:val="single" w:sz="4" w:space="0" w:color="auto"/>
              <w:left w:val="single" w:sz="4" w:space="0" w:color="000000"/>
              <w:bottom w:val="single" w:sz="4" w:space="0" w:color="000000"/>
              <w:right w:val="single" w:sz="4" w:space="0" w:color="auto"/>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其他收入</w:t>
            </w: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1082" w:type="dxa"/>
            <w:vMerge w:val="restart"/>
            <w:tcBorders>
              <w:top w:val="single" w:sz="4" w:space="0" w:color="000000"/>
              <w:left w:val="single" w:sz="4" w:space="0" w:color="auto"/>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512"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158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其中：教育收费</w:t>
            </w: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auto"/>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1082" w:type="dxa"/>
            <w:vMerge/>
            <w:tcBorders>
              <w:top w:val="single" w:sz="4" w:space="0" w:color="000000"/>
              <w:left w:val="single" w:sz="4" w:space="0" w:color="auto"/>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2512"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auto"/>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3594" w:type="dxa"/>
            <w:gridSpan w:val="2"/>
            <w:tcBorders>
              <w:top w:val="single" w:sz="4" w:space="0" w:color="000000"/>
              <w:left w:val="single" w:sz="4" w:space="0" w:color="auto"/>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13350887.23</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13350887.23</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教育支出</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13270813.50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13270813.50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20507</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特殊教育</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13270813.50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13270813.50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2050701</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特殊学校教育</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13270813.50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13270813.50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208</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社会保障和就业支出</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80073.73</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80073.73</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20811</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残疾人事业</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80073.73</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80073.73</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2081106</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残疾人体育</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80073.73</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80073.73</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auto" w:val="0"/>
          <w:jc w:val="center"/>
        </w:trPr>
        <w:tc>
          <w:tcPr>
            <w:tcW w:w="16290" w:type="dxa"/>
            <w:gridSpan w:val="10"/>
            <w:tcBorders>
              <w:top w:val="single" w:sz="4" w:space="0" w:color="auto"/>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注：本表反映本年度取得的各项收入情况。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6" w:name="_Toc150"/>
      <w:r>
        <w:rPr>
          <w:rFonts w:ascii="黑体" w:eastAsia="黑体" w:hAnsi="黑体" w:hint="eastAsia"/>
          <w:b/>
          <w:bCs/>
          <w:sz w:val="30"/>
          <w:szCs w:val="30"/>
          <w:lang w:val="en-US" w:eastAsia="zh-CN"/>
        </w:rPr>
        <w:t xml:space="preserve">三、《收入决算表（按单位列示）》</w:t>
      </w:r>
      <w:bookmarkEnd w:id="6"/>
    </w:p>
    <w:tbl>
      <w:tblPr>
        <w:tblStyle w:val="普通表格"/>
        <w:tblW w:w="14072" w:type="dxa"/>
        <w:tblInd w:w="1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636"/>
        <w:gridCol w:w="1169"/>
        <w:gridCol w:w="1093"/>
        <w:gridCol w:w="1110"/>
        <w:gridCol w:w="1110"/>
        <w:gridCol w:w="1110"/>
        <w:gridCol w:w="1110"/>
        <w:gridCol w:w="1110"/>
        <w:gridCol w:w="1110"/>
        <w:gridCol w:w="1110"/>
        <w:gridCol w:w="1110"/>
        <w:gridCol w:w="1147"/>
        <w:gridCol w:w="1147"/>
      </w:tblGrid>
      <w:tr>
        <w:tblPrEx>
          <w:tblW w:w="14072" w:type="dxa"/>
          <w:tblInd w:w="1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val="300"/>
        </w:trPr>
        <w:tc>
          <w:tcPr>
            <w:tcW w:w="8378" w:type="dxa"/>
            <w:gridSpan w:val="8"/>
            <w:tcBorders>
              <w:top w:val="nil"/>
              <w:left w:val="nil"/>
              <w:bottom w:val="single" w:sz="8" w:space="0" w:color="000000"/>
              <w:right w:val="nil"/>
            </w:tcBorders>
            <w:noWrap w:val="1"/>
            <w:vAlign w:val="center"/>
          </w:tcPr>
          <w:p>
            <w:pPr>
              <w:divId w:val="0"/>
              <w:keepNext w:val="0"/>
              <w:keepLines w:val="0"/>
              <w:widowControl/>
              <w:suppressLineNumbers w:val="0"/>
              <w:jc w:val="left"/>
              <w:textAlignment w:val="center"/>
              <w:rPr>
                <w:rFonts w:ascii="宋体" w:eastAsia="宋体" w:hAnsi="宋体" w:cs="宋体" w:hint="eastAsia"/>
                <w:i w:val="0"/>
                <w:iCs w:val="0"/>
                <w:color w:val="000000"/>
                <w:sz w:val="16"/>
                <w:szCs w:val="16"/>
                <w:u w:val="none"/>
              </w:rPr>
            </w:pPr>
            <w:r>
              <w:rPr>
                <w:rFonts w:ascii="宋体" w:hAnsi="宋体" w:cs="宋体" w:hint="eastAsia"/>
                <w:i w:val="0"/>
                <w:iCs w:val="0"/>
                <w:color w:val="000000"/>
                <w:kern w:val="0.0"/>
                <w:sz w:val="16"/>
                <w:szCs w:val="16"/>
                <w:u w:val="none"/>
                <w:lang w:val="en-US" w:eastAsia="zh-CN"/>
              </w:rPr>
              <w:t xml:space="preserve">单位</w:t>
            </w:r>
            <w:r>
              <w:rPr>
                <w:rFonts w:ascii="宋体" w:eastAsia="宋体" w:hAnsi="宋体" w:cs="宋体" w:hint="eastAsia"/>
                <w:i w:val="0"/>
                <w:iCs w:val="0"/>
                <w:color w:val="000000"/>
                <w:kern w:val="0.0"/>
                <w:sz w:val="16"/>
                <w:szCs w:val="16"/>
                <w:u w:val="none"/>
                <w:lang w:val="en-US" w:eastAsia="zh-CN"/>
              </w:rPr>
              <w:t xml:space="preserve">：</w:t>
            </w:r>
            <w:r>
              <w:rPr>
                <w:rFonts w:ascii="宋体" w:eastAsia="宋体" w:hAnsi="宋体" w:cs="宋体" w:hint="eastAsia"/>
                <w:i w:val="0"/>
                <w:iCs w:val="0"/>
                <w:color w:val="000000"/>
                <w:kern w:val="0.0"/>
                <w:sz w:val="16"/>
                <w:szCs w:val="16"/>
                <w:u w:val="none"/>
                <w:lang w:val="en-US" w:eastAsia="zh-CN"/>
              </w:rPr>
              <w:t xml:space="preserve">天津市西青区启智学校</w:t>
            </w: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2322" w:type="dxa"/>
            <w:gridSpan w:val="2"/>
            <w:tcBorders>
              <w:top w:val="nil"/>
              <w:left w:val="nil"/>
              <w:bottom w:val="single" w:sz="8" w:space="0" w:color="000000"/>
              <w:right w:val="nil"/>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金额单位：元</w:t>
            </w:r>
          </w:p>
        </w:tc>
      </w:tr>
      <w:tr>
        <w:tblPrEx>
          <w:tblW w:w="14072" w:type="dxa"/>
          <w:tblInd w:w="102" w:type="dxa"/>
          <w:tblLayout w:type="fixed"/>
          <w:tblCellMar>
            <w:top w:w="0" w:type="dxa"/>
            <w:left w:w="108" w:type="dxa"/>
            <w:bottom w:w="0" w:type="dxa"/>
            <w:right w:w="108" w:type="dxa"/>
          </w:tblCellMar>
          <w:tblLook w:val="0000"/>
        </w:tblPrEx>
        <w:trPr>
          <w:trHeight w:val="300"/>
        </w:trPr>
        <w:tc>
          <w:tcPr>
            <w:tcW w:w="64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部门（单位）代码</w:t>
            </w:r>
          </w:p>
        </w:tc>
        <w:tc>
          <w:tcPr>
            <w:tcW w:w="1182"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部门（单位）名称</w:t>
            </w:r>
          </w:p>
        </w:tc>
        <w:tc>
          <w:tcPr>
            <w:tcW w:w="935"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1314" w:type="dxa"/>
            <w:gridSpan w:val="10"/>
            <w:tcBorders>
              <w:top w:val="single" w:sz="8" w:space="0" w:color="000000"/>
              <w:left w:val="single" w:sz="8" w:space="0" w:color="000000"/>
              <w:bottom w:val="single" w:sz="8" w:space="0" w:color="000000"/>
              <w:right w:val="single" w:sz="8" w:space="0" w:color="000000"/>
            </w:tcBorders>
            <w:noWrap w:val="1"/>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本年收入</w:t>
            </w:r>
          </w:p>
        </w:tc>
      </w:tr>
      <w:tr>
        <w:tblPrEx>
          <w:tblW w:w="14072" w:type="dxa"/>
          <w:tblInd w:w="102" w:type="dxa"/>
          <w:tblLayout w:type="fixed"/>
          <w:tblCellMar>
            <w:top w:w="0" w:type="dxa"/>
            <w:left w:w="108" w:type="dxa"/>
            <w:bottom w:w="0" w:type="dxa"/>
            <w:right w:w="108" w:type="dxa"/>
          </w:tblCellMar>
          <w:tblLook w:val="0000"/>
        </w:tblPrEx>
        <w:trPr>
          <w:trHeight w:val="300"/>
        </w:trPr>
        <w:tc>
          <w:tcPr>
            <w:tcW w:w="64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82"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935"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一般公共预算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政府性基金预算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国有资本经营预算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财政专户管理资金</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事业收入</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事业单位经营收入</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上级补助收入</w:t>
            </w:r>
          </w:p>
        </w:tc>
        <w:tc>
          <w:tcPr>
            <w:tcW w:w="116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附属单位上缴收入</w:t>
            </w:r>
          </w:p>
        </w:tc>
        <w:tc>
          <w:tcPr>
            <w:tcW w:w="116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其他收入</w:t>
            </w:r>
          </w:p>
        </w:tc>
      </w:tr>
      <w:tr>
        <w:tblPrEx>
          <w:tblW w:w="14072" w:type="dxa"/>
          <w:tblInd w:w="102" w:type="dxa"/>
          <w:tblLayout w:type="fixed"/>
          <w:tblCellMar>
            <w:top w:w="0" w:type="dxa"/>
            <w:left w:w="108" w:type="dxa"/>
            <w:bottom w:w="0" w:type="dxa"/>
            <w:right w:w="108" w:type="dxa"/>
          </w:tblCellMar>
          <w:tblLook w:val="0000"/>
        </w:tblPrEx>
        <w:trPr>
          <w:trHeight w:val="270"/>
        </w:trPr>
        <w:tc>
          <w:tcPr>
            <w:tcW w:w="64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82"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935"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6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6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r>
      <w:tr>
        <w:tblPrEx>
          <w:tblW w:w="14072" w:type="dxa"/>
          <w:tblInd w:w="102" w:type="dxa"/>
          <w:tblLayout w:type="fixed"/>
          <w:tblCellMar>
            <w:top w:w="0" w:type="dxa"/>
            <w:left w:w="108" w:type="dxa"/>
            <w:bottom w:w="0" w:type="dxa"/>
            <w:right w:w="108" w:type="dxa"/>
          </w:tblCellMar>
          <w:tblLook w:val="0000"/>
        </w:tblPrEx>
        <w:trPr>
          <w:trHeight w:val="782"/>
        </w:trPr>
        <w:tc>
          <w:tcPr>
            <w:tcW w:w="1823" w:type="dxa"/>
            <w:gridSpan w:val="2"/>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106"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13350887.23</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13350887.23</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13350887.23</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r>
      <w:tr>
        <w:tblPrEx>
          <w:tblW w:w="14072" w:type="dxa"/>
          <w:tblInd w:w="102" w:type="dxa"/>
          <w:tblLayout w:type="fixed"/>
          <w:tblCellMar>
            <w:top w:w="0" w:type="dxa"/>
            <w:left w:w="108" w:type="dxa"/>
            <w:bottom w:w="0" w:type="dxa"/>
            <w:right w:w="108" w:type="dxa"/>
          </w:tblCellMar>
          <w:tblLook w:val="0000"/>
        </w:tblPrEx>
        <w:trPr>
          <w:trHeight w:val="283"/>
        </w:trPr>
        <w:tc>
          <w:tcPr>
            <w:tcW w:w="64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等线" w:eastAsia="等线" w:hAnsi="等线" w:cs="等线"/>
                <w:i w:val="0"/>
                <w:iCs w:val="0"/>
                <w:color w:val="333333"/>
                <w:sz w:val="13"/>
                <w:szCs w:val="13"/>
                <w:u w:val="none"/>
              </w:rPr>
            </w:pPr>
            <w:r>
              <w:rPr>
                <w:rFonts w:ascii="等线" w:eastAsia="等线" w:hAnsi="等线" w:cs="等线"/>
                <w:i w:val="0"/>
                <w:iCs w:val="0"/>
                <w:color w:val="333333"/>
                <w:sz w:val="13"/>
                <w:szCs w:val="13"/>
                <w:u w:val="none"/>
              </w:rPr>
              <w:t xml:space="preserve">330223</w:t>
            </w:r>
          </w:p>
        </w:tc>
        <w:tc>
          <w:tcPr>
            <w:tcW w:w="1182"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left"/>
              <w:textAlignment w:val="center"/>
              <w:rPr>
                <w:rFonts w:ascii="等线" w:eastAsia="等线" w:hAnsi="等线" w:cs="等线" w:hint="eastAsia"/>
                <w:i w:val="0"/>
                <w:iCs w:val="0"/>
                <w:color w:val="333333"/>
                <w:sz w:val="13"/>
                <w:szCs w:val="13"/>
                <w:u w:val="none"/>
              </w:rPr>
            </w:pPr>
            <w:r>
              <w:rPr>
                <w:rFonts w:ascii="等线" w:eastAsia="等线" w:hAnsi="等线" w:cs="等线" w:hint="eastAsia"/>
                <w:i w:val="0"/>
                <w:iCs w:val="0"/>
                <w:color w:val="333333"/>
                <w:sz w:val="13"/>
                <w:szCs w:val="13"/>
                <w:u w:val="none"/>
              </w:rPr>
              <w:t xml:space="preserve">天津市西青区启智学校</w:t>
            </w:r>
          </w:p>
        </w:tc>
        <w:tc>
          <w:tcPr>
            <w:tcW w:w="935"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13350887.23</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13350887.23</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13350887.23</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r>
      <w:tr>
        <w:tblPrEx>
          <w:tblW w:w="14072" w:type="dxa"/>
          <w:tblInd w:w="102" w:type="dxa"/>
          <w:tblLayout w:type="fixed"/>
          <w:tblCellMar>
            <w:top w:w="0" w:type="dxa"/>
            <w:left w:w="108" w:type="dxa"/>
            <w:bottom w:w="0" w:type="dxa"/>
            <w:right w:w="108" w:type="dxa"/>
          </w:tblCellMar>
          <w:tblLook w:val="0000"/>
        </w:tblPrEx>
        <w:trPr>
          <w:trHeight w:val="270"/>
        </w:trPr>
        <w:tc>
          <w:tcPr>
            <w:tcW w:w="14072" w:type="dxa"/>
            <w:gridSpan w:val="13"/>
            <w:tcBorders>
              <w:top w:val="single" w:sz="8" w:space="0" w:color="000000"/>
              <w:left w:val="nil"/>
              <w:bottom w:val="nil"/>
              <w:right w:val="nil"/>
            </w:tcBorders>
            <w:vAlign w:val="center"/>
          </w:tcPr>
          <w:p>
            <w:pPr>
              <w:divId w:val="0"/>
              <w:keepNext w:val="0"/>
              <w:keepLines w:val="0"/>
              <w:widowControl/>
              <w:suppressLineNumbers w:val="0"/>
              <w:jc w:val="lef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注：本表反映本年度取得的各项收入情况。财政专户管理资金是指教育收费；事业收入不含教育收费。</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sz w:val="16"/>
          <w:szCs w:val="16"/>
          <w:u w:val="none"/>
          <w:lang w:val="en-US" w:eastAsia="zh-CN"/>
        </w:rPr>
      </w:pPr>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394"/>
        <w:gridCol w:w="421"/>
        <w:gridCol w:w="1669"/>
        <w:gridCol w:w="1670"/>
        <w:gridCol w:w="1670"/>
        <w:gridCol w:w="1670"/>
        <w:gridCol w:w="1670"/>
        <w:gridCol w:w="1670"/>
        <w:gridCol w:w="1670"/>
        <w:gridCol w:w="1670"/>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1134" w:type="dxa"/>
            <w:gridSpan w:val="6"/>
            <w:tcBorders>
              <w:top w:val="nil"/>
              <w:left w:val="nil"/>
              <w:bottom w:val="single" w:sz="8" w:space="0" w:color="000000"/>
              <w:right w:val="nil"/>
            </w:tcBorders>
            <w:noWrap w:val="1"/>
            <w:vAlign w:val="center"/>
          </w:tcPr>
          <w:p>
            <w:pPr>
              <w:divId w:val="0"/>
              <w:snapToGrid w:val="0"/>
              <w:rPr>
                <w:rFonts w:ascii="宋体" w:eastAsia="宋体" w:hAnsi="宋体" w:cs="宋体" w:hint="eastAsia"/>
                <w:i w:val="0"/>
                <w:iCs w:val="0"/>
                <w:color w:val="000000"/>
                <w:sz w:val="16"/>
                <w:szCs w:val="16"/>
                <w:u w:val="none"/>
              </w:rPr>
            </w:pPr>
            <w:r>
              <w:rPr>
                <w:rFonts w:ascii="宋体" w:hAnsi="宋体" w:cs="宋体" w:hint="eastAsia"/>
                <w:i w:val="0"/>
                <w:iCs w:val="0"/>
                <w:color w:val="000000"/>
                <w:kern w:val="0.0"/>
                <w:sz w:val="16"/>
                <w:szCs w:val="16"/>
                <w:u w:val="none"/>
                <w:lang w:val="en-US" w:eastAsia="zh-CN"/>
              </w:rPr>
              <w:t xml:space="preserve">单位</w:t>
            </w:r>
            <w:r>
              <w:rPr>
                <w:rFonts w:ascii="宋体" w:eastAsia="宋体" w:hAnsi="宋体" w:cs="宋体" w:hint="eastAsia"/>
                <w:i w:val="0"/>
                <w:iCs w:val="0"/>
                <w:color w:val="000000"/>
                <w:kern w:val="0.0"/>
                <w:sz w:val="16"/>
                <w:szCs w:val="16"/>
                <w:u w:val="none"/>
                <w:lang w:val="en-US" w:eastAsia="zh-CN"/>
              </w:rPr>
              <w:t xml:space="preserve">：</w:t>
            </w:r>
            <w:r>
              <w:rPr>
                <w:rFonts w:ascii="宋体" w:eastAsia="宋体" w:hAnsi="宋体" w:cs="宋体" w:hint="eastAsia"/>
                <w:i w:val="0"/>
                <w:iCs w:val="0"/>
                <w:color w:val="000000"/>
                <w:kern w:val="0.0"/>
                <w:sz w:val="16"/>
                <w:szCs w:val="16"/>
                <w:u w:val="none"/>
                <w:lang w:val="en-US" w:eastAsia="zh-CN"/>
              </w:rPr>
              <w:t xml:space="preserve">天津市西青区启智学校</w:t>
            </w:r>
          </w:p>
        </w:tc>
        <w:tc>
          <w:tcPr>
            <w:tcW w:w="3340" w:type="dxa"/>
            <w:gridSpan w:val="2"/>
            <w:tcBorders>
              <w:top w:val="nil"/>
              <w:left w:val="nil"/>
              <w:bottom w:val="single" w:sz="8" w:space="0" w:color="000000"/>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16"/>
                <w:szCs w:val="16"/>
                <w:u w:val="none"/>
                <w:lang w:val="en-US" w:eastAsia="zh-CN"/>
              </w:rPr>
            </w:pPr>
          </w:p>
        </w:tc>
        <w:tc>
          <w:tcPr>
            <w:tcW w:w="3340" w:type="dxa"/>
            <w:gridSpan w:val="2"/>
            <w:tcBorders>
              <w:top w:val="nil"/>
              <w:left w:val="nil"/>
              <w:bottom w:val="single" w:sz="8" w:space="0" w:color="000000"/>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16"/>
                <w:szCs w:val="16"/>
                <w:u w:val="none"/>
                <w:lang w:val="en-US" w:eastAsia="zh-CN"/>
              </w:rPr>
            </w:pPr>
            <w:r>
              <w:rPr>
                <w:rFonts w:ascii="宋体" w:eastAsia="宋体" w:hAnsi="宋体" w:cs="宋体" w:hint="eastAsia"/>
                <w:i w:val="0"/>
                <w:iCs w:val="0"/>
                <w:color w:val="000000"/>
                <w:kern w:val="0.0"/>
                <w:sz w:val="16"/>
                <w:szCs w:val="16"/>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部门（单位）代码</w:t>
            </w:r>
          </w:p>
        </w:tc>
        <w:tc>
          <w:tcPr>
            <w:tcW w:w="113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部门（单位）名称</w:t>
            </w:r>
          </w:p>
        </w:tc>
        <w:tc>
          <w:tcPr>
            <w:tcW w:w="13359" w:type="dxa"/>
            <w:gridSpan w:val="8"/>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上年结转和结余</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13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69"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6680" w:type="dxa"/>
            <w:gridSpan w:val="4"/>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财政拨款结转结余</w:t>
            </w:r>
          </w:p>
        </w:tc>
        <w:tc>
          <w:tcPr>
            <w:tcW w:w="5010" w:type="dxa"/>
            <w:gridSpan w:val="3"/>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非财政拨款结转结余</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13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69"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一般公共预算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政府性基金预算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国有资本经营预算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财政专户管理资金</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单位资金</w:t>
            </w:r>
          </w:p>
        </w:tc>
      </w:tr>
      <w:tr>
        <w:tblPrEx>
          <w:tblW w:w="5000" w:type="pct"/>
          <w:jc w:val="center"/>
          <w:tblCellMar>
            <w:top w:w="0" w:type="dxa"/>
            <w:left w:w="108" w:type="dxa"/>
            <w:bottom w:w="0" w:type="dxa"/>
            <w:right w:w="108" w:type="dxa"/>
          </w:tblCellMar>
          <w:tblLook w:val="0000"/>
        </w:tblPrEx>
        <w:trPr>
          <w:trHeight w:hRule="auto" w:val="0"/>
          <w:jc w:val="center"/>
        </w:trPr>
        <w:tc>
          <w:tcPr>
            <w:tcW w:w="1134" w:type="dxa"/>
            <w:gridSpan w:val="2"/>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737"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等线" w:eastAsia="等线" w:hAnsi="等线" w:cs="等线"/>
                <w:i w:val="0"/>
                <w:iCs w:val="0"/>
                <w:color w:val="333333"/>
                <w:sz w:val="13"/>
                <w:szCs w:val="13"/>
                <w:u w:val="none"/>
              </w:rPr>
            </w:pPr>
            <w:r>
              <w:rPr>
                <w:rFonts w:ascii="等线" w:eastAsia="等线" w:hAnsi="等线" w:cs="等线"/>
                <w:i w:val="0"/>
                <w:iCs w:val="0"/>
                <w:color w:val="333333"/>
                <w:sz w:val="13"/>
                <w:szCs w:val="13"/>
                <w:u w:val="none"/>
              </w:rPr>
              <w:t xml:space="preserve">330223</w:t>
            </w:r>
          </w:p>
        </w:tc>
        <w:tc>
          <w:tcPr>
            <w:tcW w:w="113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13"/>
                <w:szCs w:val="13"/>
                <w:u w:val="none"/>
              </w:rPr>
            </w:pPr>
            <w:r>
              <w:rPr>
                <w:rFonts w:ascii="等线" w:eastAsia="等线" w:hAnsi="等线" w:cs="等线" w:hint="eastAsia"/>
                <w:i w:val="0"/>
                <w:iCs w:val="0"/>
                <w:color w:val="333333"/>
                <w:sz w:val="13"/>
                <w:szCs w:val="13"/>
                <w:u w:val="none"/>
              </w:rPr>
              <w:t xml:space="preserve">天津市西青区启智学校</w:t>
            </w: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1134" w:type="dxa"/>
            <w:gridSpan w:val="10"/>
            <w:tcBorders>
              <w:top w:val="single" w:sz="8" w:space="0" w:color="000000"/>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注：本表反映本年度取得的各项收入情况。财政专户管理资金是指教育收费；事业收入不含教育收费。</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sectPr>
          <w:footerReference w:type="default" r:id="rId6"/>
          <w:type w:val="nextPage"/>
          <w:pgSz w:w="16838" w:h="11906" w:orient="landscape"/>
          <w:pgMar w:top="1800" w:right="1440" w:bottom="1800" w:left="144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extDirection w:val="lrTb"/>
          <w:docGrid w:type="lines" w:linePitch="312"/>
        </w:sectPr>
      </w:pPr>
    </w:p>
    <w:p>
      <w:pPr>
        <w:pStyle w:val="标题2"/>
        <w:wordWrap w:val="0"/>
        <w:spacing w:before="0" w:after="0" w:line="800" w:lineRule="exact"/>
        <w:ind w:firstLine="600" w:firstLineChars="200"/>
        <w:rPr>
          <w:rFonts w:ascii="黑体" w:eastAsia="黑体" w:hAnsi="黑体" w:hint="eastAsia"/>
          <w:sz w:val="30"/>
          <w:szCs w:val="30"/>
          <w:lang w:val="en-US" w:eastAsia="zh-CN"/>
        </w:rPr>
      </w:pPr>
      <w:bookmarkStart w:id="7" w:name="_Toc32133"/>
      <w:r>
        <w:rPr>
          <w:rFonts w:ascii="黑体" w:eastAsia="黑体" w:hAnsi="黑体" w:hint="eastAsia"/>
          <w:sz w:val="30"/>
          <w:szCs w:val="30"/>
          <w:lang w:val="en-US" w:eastAsia="zh-CN"/>
        </w:rPr>
        <w:t xml:space="preserve">四、《支出决算表》</w:t>
      </w:r>
      <w:bookmarkEnd w:id="7"/>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78"/>
        <w:gridCol w:w="875"/>
        <w:gridCol w:w="2136"/>
        <w:gridCol w:w="2137"/>
        <w:gridCol w:w="2137"/>
        <w:gridCol w:w="2137"/>
        <w:gridCol w:w="2137"/>
        <w:gridCol w:w="2137"/>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1701" w:type="dxa"/>
            <w:gridSpan w:val="4"/>
            <w:tcBorders>
              <w:top w:val="nil"/>
              <w:left w:val="nil"/>
              <w:bottom w:val="single" w:sz="4" w:space="0" w:color="000000"/>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2"/>
                <w:szCs w:val="22"/>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天津市西青区启智学校</w:t>
            </w:r>
          </w:p>
        </w:tc>
        <w:tc>
          <w:tcPr>
            <w:tcW w:w="1701" w:type="dxa"/>
            <w:tcBorders>
              <w:top w:val="nil"/>
              <w:left w:val="nil"/>
              <w:bottom w:val="single" w:sz="4" w:space="0" w:color="000000"/>
              <w:right w:val="nil"/>
            </w:tcBorders>
            <w:shd w:val="clear" w:color="auto" w:fill="FFFFFF"/>
            <w:noWrap w:val="1"/>
            <w:vAlign w:val="center"/>
          </w:tcPr>
          <w:p>
            <w:pPr>
              <w:divId w:val="0"/>
              <w:snapToGrid w:val="0"/>
              <w:jc w:val="center"/>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2"/>
                <w:szCs w:val="22"/>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hRule="exact" w:val="397"/>
          <w:jc w:val="center"/>
        </w:trPr>
        <w:tc>
          <w:tcPr>
            <w:tcW w:w="2835"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本年支出合计</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上缴上级支出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经营支出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对附属单位补助支出</w:t>
            </w:r>
          </w:p>
        </w:tc>
      </w:tr>
      <w:tr>
        <w:tblPrEx>
          <w:tblW w:w="5000" w:type="pct"/>
          <w:jc w:val="center"/>
          <w:tblCellMar>
            <w:top w:w="0" w:type="dxa"/>
            <w:left w:w="108" w:type="dxa"/>
            <w:bottom w:w="0" w:type="dxa"/>
            <w:right w:w="108" w:type="dxa"/>
          </w:tblCellMar>
          <w:tblLook w:val="0000"/>
        </w:tblPrEx>
        <w:trPr>
          <w:trHeight w:hRule="exact" w:val="397"/>
          <w:jc w:val="center"/>
        </w:trPr>
        <w:tc>
          <w:tcPr>
            <w:tcW w:w="39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835"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12"/>
          <w:jc w:val="center"/>
        </w:trPr>
        <w:tc>
          <w:tcPr>
            <w:tcW w:w="39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2835"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hRule="exact" w:val="397"/>
          <w:jc w:val="center"/>
        </w:trPr>
        <w:tc>
          <w:tcPr>
            <w:tcW w:w="2835" w:type="dxa"/>
            <w:gridSpan w:val="2"/>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r>
              <w:rPr>
                <w:rFonts w:ascii="宋体" w:eastAsia="宋体" w:hAnsi="宋体" w:cs="宋体" w:hint="eastAsia"/>
                <w:kern w:val="0.0"/>
                <w:sz w:val="20"/>
                <w:szCs w:val="20"/>
                <w:lang w:val="en-US" w:eastAsia="zh-CN"/>
              </w:rPr>
              <w:t xml:space="preserve">13350887.23</w:t>
            </w: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r>
              <w:rPr>
                <w:rFonts w:ascii="宋体" w:eastAsia="宋体" w:hAnsi="宋体" w:cs="宋体" w:hint="eastAsia"/>
                <w:kern w:val="0.0"/>
                <w:sz w:val="20"/>
                <w:szCs w:val="20"/>
                <w:lang w:val="en-US" w:eastAsia="zh-CN"/>
              </w:rPr>
              <w:t xml:space="preserve">12740506.76</w:t>
            </w: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r>
              <w:rPr>
                <w:rFonts w:ascii="宋体" w:eastAsia="宋体" w:hAnsi="宋体" w:cs="宋体" w:hint="eastAsia"/>
                <w:kern w:val="0.0"/>
                <w:sz w:val="20"/>
                <w:szCs w:val="20"/>
                <w:lang w:val="en-US" w:eastAsia="zh-CN"/>
              </w:rPr>
              <w:t xml:space="preserve">610380.47</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13270813.50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12740506.76</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530306.74</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20507</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特殊教育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13270813.50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12740506.76</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530306.74</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2050701</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特殊学校教育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13270813.50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12740506.76</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530306.74</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208</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社会保障和就业支出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80073.73</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80073.73</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20811</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残疾人事业</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80073.73</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80073.73</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2081106</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残疾人体育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80073.73</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80073.73</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1701" w:type="dxa"/>
            <w:gridSpan w:val="8"/>
            <w:tcBorders>
              <w:top w:val="single" w:sz="4" w:space="0" w:color="000000"/>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注：本表反映本年度各项支出情况。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8" w:name="_Toc1775"/>
      <w:r>
        <w:rPr>
          <w:rFonts w:ascii="黑体" w:eastAsia="黑体" w:hAnsi="黑体" w:hint="eastAsia"/>
          <w:sz w:val="30"/>
          <w:szCs w:val="30"/>
          <w:lang w:val="en-US" w:eastAsia="zh-CN"/>
        </w:rPr>
        <w:t xml:space="preserve">五、《财政拨款收入支出决算总表》</w:t>
      </w:r>
      <w:bookmarkEnd w:id="8"/>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3023"/>
        <w:gridCol w:w="1653"/>
        <w:gridCol w:w="2890"/>
        <w:gridCol w:w="1652"/>
        <w:gridCol w:w="1652"/>
        <w:gridCol w:w="1652"/>
        <w:gridCol w:w="165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jc w:val="center"/>
        </w:trPr>
        <w:tc>
          <w:tcPr>
            <w:tcW w:w="3118" w:type="dxa"/>
            <w:gridSpan w:val="3"/>
            <w:tcBorders>
              <w:top w:val="nil"/>
              <w:left w:val="nil"/>
              <w:bottom w:val="nil"/>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天津市西青区启智学校</w:t>
            </w:r>
          </w:p>
        </w:tc>
        <w:tc>
          <w:tcPr>
            <w:tcW w:w="1701" w:type="dxa"/>
            <w:tcBorders>
              <w:top w:val="nil"/>
              <w:left w:val="nil"/>
              <w:bottom w:val="nil"/>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3118" w:type="dxa"/>
            <w:gridSpan w:val="2"/>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w:t>
            </w:r>
          </w:p>
        </w:tc>
        <w:tc>
          <w:tcPr>
            <w:tcW w:w="1701" w:type="dxa"/>
            <w:gridSpan w:val="5"/>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w:t>
            </w: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国有资本经营预算财政拨款</w:t>
            </w: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13350887.23</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一、一般公共服务支出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二、公共安全支出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三、国有资本经营预算财政拨款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13270813.50</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13270813.50</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四、科学技术支出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五、文化旅游体育与传媒支出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六、社会保障和就业支出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80073.73</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80073.73</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七、卫生健康支出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八、节能环保支出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九、城乡社区支出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十、农林水支出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十一、交通运输支出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十二、资源勘探工业信息等支出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十三、商业服务业等支出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十四、金融支出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十五、援助其他地区支出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十六、自然资源海洋气象等支出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十七、住房保障支出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十八、粮油物资储备支出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十九、国有资本经营预算支出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二十、灾害防治及应急管理支出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二十一、其他支出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二十二、债务付息支出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二十三、抗疫特别国债安排的支出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本年收入合计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13350887.23</w:t>
            </w: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本年支出合计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13350887.23</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333333"/>
                <w:kern w:val="0.0"/>
                <w:sz w:val="20"/>
                <w:szCs w:val="20"/>
                <w:u w:val="none"/>
                <w:lang w:val="en-US" w:eastAsia="zh-CN"/>
              </w:rPr>
              <w:t xml:space="preserve">13350887.23</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spacing w:line="240" w:lineRule="auto"/>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ind w:left="0" w:firstLine="0" w:lef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国有资本经营预算财政拨款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总计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13350887.23</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总计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13350887.23</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333333"/>
                <w:kern w:val="0.0"/>
                <w:sz w:val="20"/>
                <w:szCs w:val="20"/>
                <w:u w:val="none"/>
                <w:lang w:val="en-US" w:eastAsia="zh-CN"/>
              </w:rPr>
              <w:t xml:space="preserve">13350887.23</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3118" w:type="dxa"/>
            <w:gridSpan w:val="7"/>
            <w:tcBorders>
              <w:top w:val="single" w:sz="4" w:space="0" w:color="000000"/>
              <w:left w:val="nil"/>
              <w:bottom w:val="nil"/>
              <w:right w:val="nil"/>
            </w:tcBorders>
            <w:shd w:val="clear" w:color="auto" w:fill="FFFFFF"/>
            <w:noWrap w:val="1"/>
            <w:vAlign w:val="center"/>
          </w:tcPr>
          <w:p>
            <w:pPr>
              <w:pStyle w:val="普通(网站)"/>
              <w:keepNext w:val="0"/>
              <w:keepLines w:val="0"/>
              <w:widowControl/>
              <w:suppressLineNumbers w:val="0"/>
              <w:snapToGrid w:val="0"/>
              <w:spacing w:before="60" w:beforeAutospacing="0" w:after="60" w:afterAutospacing="0"/>
              <w:ind w:left="0" w:right="0" w:leftChars="0" w:rightChars="0"/>
              <w:jc w:val="left"/>
              <w:rPr>
                <w:rFonts w:ascii="等线" w:eastAsia="等线" w:hAnsi="等线" w:cs="等线"/>
                <w:b w:val="0"/>
                <w:bCs w:val="0"/>
                <w:i w:val="0"/>
                <w:iCs w:val="0"/>
                <w:color w:val="333333"/>
                <w:spacing w:val="0"/>
                <w:w w:val="100"/>
                <w:sz w:val="20"/>
                <w:szCs w:val="20"/>
                <w:vertAlign w:val="baseline"/>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注：本表反映本年度一般公共预算财政拨款、政府性基金预算财政拨款和国有资本经营预算财政拨款的总收支和年末结转结余情况。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9" w:name="_Toc6908"/>
      <w:r>
        <w:rPr>
          <w:rFonts w:ascii="黑体" w:eastAsia="黑体" w:hAnsi="黑体" w:hint="eastAsia"/>
          <w:sz w:val="30"/>
          <w:szCs w:val="30"/>
          <w:lang w:val="en-US" w:eastAsia="zh-CN"/>
        </w:rPr>
        <w:t xml:space="preserve">六、《一般公共预算财政拨款支出决算表》</w:t>
      </w:r>
      <w:bookmarkEnd w:id="9"/>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65"/>
        <w:gridCol w:w="964"/>
        <w:gridCol w:w="2549"/>
        <w:gridCol w:w="2549"/>
        <w:gridCol w:w="2549"/>
        <w:gridCol w:w="2549"/>
        <w:gridCol w:w="2549"/>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2268" w:type="dxa"/>
            <w:gridSpan w:val="6"/>
            <w:tcBorders>
              <w:top w:val="nil"/>
              <w:left w:val="nil"/>
              <w:bottom w:val="nil"/>
              <w:right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Style w:val="font41"/>
                <w:lang w:val="en-US" w:eastAsia="zh-CN"/>
              </w:rPr>
              <w:t xml:space="preserve">天津市西青区启智学校</w:t>
            </w:r>
          </w:p>
        </w:tc>
        <w:tc>
          <w:tcPr>
            <w:tcW w:w="1701" w:type="dxa"/>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合计</w:t>
            </w:r>
          </w:p>
        </w:tc>
        <w:tc>
          <w:tcPr>
            <w:tcW w:w="1701" w:type="dxa"/>
            <w:gridSpan w:val="3"/>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基本支</w:t>
            </w:r>
            <w:r>
              <w:rPr>
                <w:rFonts w:ascii="宋体" w:eastAsia="宋体" w:hAnsi="宋体" w:cs="宋体" w:hint="eastAsia"/>
                <w:i w:val="0"/>
                <w:iCs w:val="0"/>
                <w:color w:val="262626"/>
                <w:kern w:val="0.0"/>
                <w:sz w:val="22"/>
                <w:szCs w:val="22"/>
                <w:u w:val="none"/>
                <w:lang w:val="en-US" w:eastAsia="zh-CN"/>
              </w:rPr>
              <w:t xml:space="preserve">出</w:t>
            </w:r>
            <w:r>
              <w:rPr>
                <w:rFonts w:ascii="宋体" w:eastAsia="宋体" w:hAnsi="宋体" w:cs="宋体" w:hint="eastAsia"/>
                <w:i w:val="0"/>
                <w:iCs w:val="0"/>
                <w:color w:val="262626"/>
                <w:kern w:val="0.0"/>
                <w:sz w:val="22"/>
                <w:szCs w:val="22"/>
                <w:u w:val="none"/>
                <w:lang w:val="en-US" w:eastAsia="zh-CN"/>
              </w:rPr>
              <w:t xml:space="preserve">  </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项目支出</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科目编码</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napToGrid w:val="0"/>
              <w:jc w:val="center"/>
              <w:rPr>
                <w:rFonts w:ascii="宋体" w:eastAsia="宋体" w:hAnsi="宋体" w:cs="宋体" w:hint="eastAsia"/>
                <w:i w:val="0"/>
                <w:iCs w:val="0"/>
                <w:color w:val="262626"/>
                <w:sz w:val="22"/>
                <w:szCs w:val="22"/>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小计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人员经费</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公用经费</w:t>
            </w:r>
          </w:p>
        </w:tc>
        <w:tc>
          <w:tcPr>
            <w:tcW w:w="1701" w:type="dxa"/>
            <w:vMerge/>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napToGrid w:val="0"/>
              <w:jc w:val="center"/>
              <w:rPr>
                <w:rFonts w:ascii="宋体" w:eastAsia="宋体" w:hAnsi="宋体" w:cs="宋体" w:hint="eastAsia"/>
                <w:i w:val="0"/>
                <w:iCs w:val="0"/>
                <w:color w:val="262626"/>
                <w:sz w:val="22"/>
                <w:szCs w:val="22"/>
                <w:u w:val="none"/>
              </w:rPr>
            </w:pP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13350887.23</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12740506.76</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11632113.95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1108392.81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610380.47</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13270813.50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12740506.76</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11632113.95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1108392.81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530306.74</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20507</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特殊教育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13270813.50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12740506.76</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11632113.95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1108392.81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530306.74</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2050701</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特殊学校教育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13270813.50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12740506.76</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11632113.95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1108392.81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530306.74</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208</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社会保障和就业支出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80073.73</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80073.73</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20811</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残疾人事业</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80073.73</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80073.73</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2081106</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残疾人体育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80073.73</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80073.73</w:t>
            </w:r>
          </w:p>
        </w:tc>
      </w:tr>
      <w:tr>
        <w:tblPrEx>
          <w:tblW w:w="5000" w:type="pct"/>
          <w:jc w:val="center"/>
          <w:tblCellMar>
            <w:top w:w="0" w:type="dxa"/>
            <w:left w:w="108" w:type="dxa"/>
            <w:bottom w:w="0" w:type="dxa"/>
            <w:right w:w="108" w:type="dxa"/>
          </w:tblCellMar>
          <w:tblLook w:val="0000"/>
        </w:tblPrEx>
        <w:trPr>
          <w:trHeight w:hRule="auto" w:val="0"/>
          <w:jc w:val="center"/>
        </w:trPr>
        <w:tc>
          <w:tcPr>
            <w:tcW w:w="2268" w:type="dxa"/>
            <w:gridSpan w:val="7"/>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注：本表反映本年度一般公共预算财政拨款支出情况。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0" w:name="_Toc31529"/>
      <w:r>
        <w:rPr>
          <w:rFonts w:ascii="黑体" w:eastAsia="黑体" w:hAnsi="黑体" w:hint="eastAsia"/>
          <w:sz w:val="30"/>
          <w:szCs w:val="30"/>
          <w:lang w:val="en-US" w:eastAsia="zh-CN"/>
        </w:rPr>
        <w:t xml:space="preserve">七、《一般公共预算财政拨款基本支出决算表》</w:t>
      </w:r>
      <w:bookmarkEnd w:id="10"/>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840"/>
        <w:gridCol w:w="1942"/>
        <w:gridCol w:w="1942"/>
        <w:gridCol w:w="841"/>
        <w:gridCol w:w="1942"/>
        <w:gridCol w:w="1942"/>
        <w:gridCol w:w="841"/>
        <w:gridCol w:w="1942"/>
        <w:gridCol w:w="194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jc w:val="center"/>
        </w:trPr>
        <w:tc>
          <w:tcPr>
            <w:tcW w:w="1701" w:type="dxa"/>
            <w:gridSpan w:val="5"/>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天津市西青区启智学校</w:t>
            </w: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737"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1701" w:type="dxa"/>
            <w:gridSpan w:val="3"/>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人员经费</w:t>
            </w:r>
          </w:p>
        </w:tc>
        <w:tc>
          <w:tcPr>
            <w:tcW w:w="1701" w:type="dxa"/>
            <w:gridSpan w:val="6"/>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公用经费</w:t>
            </w:r>
          </w:p>
        </w:tc>
      </w:tr>
      <w:tr>
        <w:tblPrEx>
          <w:tblW w:w="14174" w:type="dxa"/>
          <w:jc w:val="center"/>
          <w:tblLayout w:type="fixed"/>
          <w:tblCellMar>
            <w:top w:w="0" w:type="dxa"/>
            <w:left w:w="108" w:type="dxa"/>
            <w:bottom w:w="0" w:type="dxa"/>
            <w:right w:w="108" w:type="dxa"/>
          </w:tblCellMar>
          <w:tblLook w:val="0000"/>
        </w:tblPrEx>
        <w:trPr>
          <w:trHeight w:hRule="exact" w:val="850"/>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工资福利支出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11404269.75</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商品和服务支出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1084582.81</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国外债务发行费用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基本工资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2388903.70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办公费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936.00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资本性支出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23810.00</w:t>
            </w: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津贴补贴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1708188.70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印刷费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房屋建筑物购建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奖金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392500.00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手续费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办公设备购置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23810.00</w:t>
            </w: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伙食补助费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2106.25</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专用设备购置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绩效工资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2581406.08</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电费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105276.50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基础设施建设</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机关事业单位基本养老保险缴费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732435.38</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邮电费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9826.00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大型修缮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职业年金缴费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366214.08</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取暖费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161136.40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信息网络及软件购置更新</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职工基本医疗保险缴费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480661.99</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物业管理费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570038.82</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物资储备</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公务员医疗补助缴费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差旅费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1000.00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土地补偿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其他社会保障缴费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32045.24</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因公出国（境）费用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安置补助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住房公积金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2691420.00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维</w:t>
            </w:r>
            <w:r>
              <w:rPr>
                <w:rFonts w:ascii="宋体" w:eastAsia="宋体" w:hAnsi="宋体" w:cs="宋体" w:hint="eastAsia"/>
                <w:i w:val="0"/>
                <w:iCs w:val="0"/>
                <w:color w:val="000000"/>
                <w:kern w:val="0.0"/>
                <w:sz w:val="20"/>
                <w:szCs w:val="20"/>
                <w:u w:val="none"/>
                <w:lang w:val="en-US" w:eastAsia="zh-CN"/>
              </w:rPr>
              <w:t xml:space="preserve">修</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护</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50941.50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地上附着物和青苗补偿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医疗费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30494.58</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租赁费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拆迁补偿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其他工资福利支出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会议费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公务用车购置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对个人和家庭的补助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227844.20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培训费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其他交通工具购置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离休费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公务接待费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31021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文物和陈列品购置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退休费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153010.20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专用材料费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31022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无形资产购置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退职（役）费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被装购置费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其他资本性支出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抚恤金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专用燃料费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对企业补助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生活补助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劳务费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600.00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资本金注入</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救济费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委托业务费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179980.00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政府投资基金股权投资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医疗费补助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16300.00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工会经费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费用补贴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助学金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福利费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利息补贴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奖励金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30231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公务用车运行维护费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其他资本性补助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个人农业生产补贴</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30239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其他交通费用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2741.34</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其他对企业补助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代缴社会保险费</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30240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税金及附加费用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其他支出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其他对个人和家庭的补助</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58534.00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其他商品和服务支出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国家赔偿费用支出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307</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债务利息及费用支出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39908</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对民间非营利组织和群众性自治组织补贴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30701</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国内债务付息</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39909</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经常性赠与</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30702</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国外债务付息</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39910</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资本性赠与</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国内债务发行费用</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39999</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其他支出</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1701" w:type="dxa"/>
            <w:gridSpan w:val="2"/>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人员经费合计</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11632113.95</w:t>
            </w:r>
          </w:p>
        </w:tc>
        <w:tc>
          <w:tcPr>
            <w:tcW w:w="1701" w:type="dxa"/>
            <w:gridSpan w:val="5"/>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公用经费合计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1108392.81</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1701" w:type="dxa"/>
            <w:gridSpan w:val="9"/>
            <w:tcBorders>
              <w:top w:val="single" w:sz="4" w:space="0" w:color="000000"/>
              <w:left w:val="nil"/>
              <w:bottom w:val="nil"/>
              <w:right w:val="nil"/>
            </w:tcBorders>
            <w:noWrap w:val="1"/>
            <w:vAlign w:val="center"/>
          </w:tcPr>
          <w:p>
            <w:pPr>
              <w:pStyle w:val="普通(网站)"/>
              <w:keepNext w:val="0"/>
              <w:keepLines w:val="0"/>
              <w:widowControl/>
              <w:suppressLineNumbers w:val="0"/>
              <w:snapToGrid w:val="0"/>
              <w:spacing w:before="60" w:beforeAutospacing="0" w:after="60" w:afterAutospacing="0"/>
              <w:ind w:left="0" w:right="0" w:leftChars="0" w:rightChars="0"/>
              <w:jc w:val="left"/>
              <w:rPr>
                <w:rFonts w:ascii="宋体" w:eastAsia="宋体" w:hAnsi="宋体" w:cs="宋体" w:hint="eastAsia"/>
                <w:b/>
                <w:bCs/>
                <w:i w:val="0"/>
                <w:iCs w:val="0"/>
                <w:color w:val="000000"/>
                <w:kern w:val="0.0"/>
                <w:sz w:val="20"/>
                <w:szCs w:val="20"/>
                <w:u w:val="none"/>
                <w:lang w:val="en-US" w:eastAsia="zh-CN"/>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注：本表反映本年度一般公共预算财政拨款支出情况。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1" w:name="_Toc15896"/>
      <w:r>
        <w:rPr>
          <w:rFonts w:ascii="黑体" w:eastAsia="黑体" w:hAnsi="黑体" w:hint="eastAsia"/>
          <w:b/>
          <w:bCs/>
          <w:sz w:val="30"/>
          <w:szCs w:val="30"/>
          <w:lang w:val="en-US" w:eastAsia="zh-CN"/>
        </w:rPr>
        <w:t xml:space="preserve">八、《政府性基金预算财政拨款收入支出决算表》</w:t>
      </w:r>
      <w:bookmarkEnd w:id="11"/>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960"/>
        <w:gridCol w:w="2402"/>
        <w:gridCol w:w="1802"/>
        <w:gridCol w:w="1802"/>
        <w:gridCol w:w="1802"/>
        <w:gridCol w:w="1802"/>
        <w:gridCol w:w="1802"/>
        <w:gridCol w:w="180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val="567"/>
          <w:tblHeader/>
          <w:jc w:val="center"/>
        </w:trPr>
        <w:tc>
          <w:tcPr>
            <w:tcW w:w="2268" w:type="dxa"/>
            <w:gridSpan w:val="5"/>
            <w:tcBorders>
              <w:top w:val="nil"/>
              <w:left w:val="nil"/>
              <w:bottom w:val="nil"/>
              <w:right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天津市西青区启智学校</w:t>
            </w:r>
          </w:p>
        </w:tc>
        <w:tc>
          <w:tcPr>
            <w:tcW w:w="1701" w:type="dxa"/>
            <w:tcBorders>
              <w:top w:val="nil"/>
              <w:left w:val="nil"/>
              <w:bottom w:val="nil"/>
              <w:right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年初结转和结余</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w:t>
            </w:r>
          </w:p>
        </w:tc>
        <w:tc>
          <w:tcPr>
            <w:tcW w:w="1701" w:type="dxa"/>
            <w:gridSpan w:val="3"/>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年末结转和结余</w:t>
            </w: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268"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w:t>
            </w:r>
            <w:r>
              <w:rPr>
                <w:rFonts w:ascii="宋体" w:eastAsia="宋体" w:hAnsi="宋体" w:cs="宋体" w:hint="eastAsia"/>
                <w:i w:val="0"/>
                <w:iCs w:val="0"/>
                <w:color w:val="000000"/>
                <w:kern w:val="0.0"/>
                <w:sz w:val="20"/>
                <w:szCs w:val="20"/>
                <w:u w:val="none"/>
                <w:lang w:val="en-US" w:eastAsia="zh-CN"/>
              </w:rPr>
              <w:t xml:space="preserve">出</w:t>
            </w:r>
            <w:r>
              <w:rPr>
                <w:rFonts w:ascii="宋体" w:eastAsia="宋体" w:hAnsi="宋体" w:cs="宋体" w:hint="eastAsia"/>
                <w:i w:val="0"/>
                <w:iCs w:val="0"/>
                <w:color w:val="000000"/>
                <w:kern w:val="0.0"/>
                <w:sz w:val="20"/>
                <w:szCs w:val="20"/>
                <w:u w:val="none"/>
                <w:lang w:val="en-US" w:eastAsia="zh-CN"/>
              </w:rPr>
              <w:t xml:space="preserve">  </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2268"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注：本表反映本年度政府性基金预算财政拨款收入、支出及结转和结余情况。</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天津市西青区启智学校2025年度政府性基金预算财政拨款收入支出决算表为空表。</w:t>
      </w:r>
    </w:p>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2" w:name="_Toc24983"/>
      <w:r>
        <w:rPr>
          <w:rFonts w:ascii="黑体" w:eastAsia="黑体" w:hAnsi="黑体" w:hint="eastAsia"/>
          <w:b/>
          <w:bCs/>
          <w:sz w:val="30"/>
          <w:szCs w:val="30"/>
          <w:lang w:val="en-US" w:eastAsia="zh-CN"/>
        </w:rPr>
        <w:t xml:space="preserve">九、《国有资本经营预算财政拨款收入支出决算表》</w:t>
      </w:r>
      <w:bookmarkEnd w:id="12"/>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12"/>
        <w:gridCol w:w="812"/>
        <w:gridCol w:w="2158"/>
        <w:gridCol w:w="2158"/>
        <w:gridCol w:w="2158"/>
        <w:gridCol w:w="2158"/>
        <w:gridCol w:w="2159"/>
        <w:gridCol w:w="2159"/>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tblHeader/>
          <w:jc w:val="center"/>
        </w:trPr>
        <w:tc>
          <w:tcPr>
            <w:tcW w:w="1134" w:type="dxa"/>
            <w:gridSpan w:val="4"/>
            <w:tcBorders>
              <w:top w:val="nil"/>
              <w:left w:val="nil"/>
              <w:bottom w:val="nil"/>
              <w:right w:val="nil"/>
            </w:tcBorders>
            <w:noWrap w:val="1"/>
            <w:vAlign w:val="center"/>
          </w:tcPr>
          <w:p>
            <w:pPr>
              <w:divId w:val="0"/>
              <w:snapToGrid w:val="0"/>
              <w:jc w:val="left"/>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天津市西青区启智学校</w:t>
            </w: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Style w:val="font11"/>
                <w:sz w:val="20"/>
                <w:szCs w:val="20"/>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年初结转和结余</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w:t>
            </w:r>
          </w:p>
        </w:tc>
        <w:tc>
          <w:tcPr>
            <w:tcW w:w="1134" w:type="dxa"/>
            <w:gridSpan w:val="3"/>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年末结转和结余</w:t>
            </w: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55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w:t>
            </w:r>
            <w:r>
              <w:rPr>
                <w:rFonts w:ascii="宋体" w:eastAsia="宋体" w:hAnsi="宋体" w:cs="宋体" w:hint="eastAsia"/>
                <w:i w:val="0"/>
                <w:iCs w:val="0"/>
                <w:color w:val="000000"/>
                <w:kern w:val="0.0"/>
                <w:sz w:val="20"/>
                <w:szCs w:val="20"/>
                <w:u w:val="none"/>
                <w:lang w:val="en-US" w:eastAsia="zh-CN"/>
              </w:rPr>
              <w:t xml:space="preserve">出</w:t>
            </w:r>
            <w:r>
              <w:rPr>
                <w:rFonts w:ascii="宋体" w:eastAsia="宋体" w:hAnsi="宋体" w:cs="宋体" w:hint="eastAsia"/>
                <w:i w:val="0"/>
                <w:iCs w:val="0"/>
                <w:color w:val="000000"/>
                <w:kern w:val="0.0"/>
                <w:sz w:val="20"/>
                <w:szCs w:val="20"/>
                <w:u w:val="none"/>
                <w:lang w:val="en-US" w:eastAsia="zh-CN"/>
              </w:rPr>
              <w:t xml:space="preserve">  </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55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55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255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jc w:val="center"/>
        </w:trPr>
        <w:tc>
          <w:tcPr>
            <w:tcW w:w="1134"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注：本表反映本年度国有资本经营预算财政拨款收入、支出及结转和结余情况。</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天津市西青区启智学校2025年度国有资本经营预算财政拨款收入支出决算表为空表。</w:t>
      </w:r>
    </w:p>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3" w:name="_Toc11809"/>
      <w:r>
        <w:rPr>
          <w:rFonts w:ascii="黑体" w:eastAsia="黑体" w:hAnsi="黑体" w:hint="eastAsia"/>
          <w:b/>
          <w:bCs/>
          <w:sz w:val="30"/>
          <w:szCs w:val="30"/>
          <w:lang w:val="en-US" w:eastAsia="zh-CN"/>
        </w:rPr>
        <w:t xml:space="preserve">十、《财政拨款“三公”经费支出决算表》</w:t>
      </w:r>
      <w:bookmarkEnd w:id="13"/>
    </w:p>
    <w:tbl>
      <w:tblPr>
        <w:tblStyle w:val="普通表格"/>
        <w:tblW w:w="141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2362"/>
        <w:gridCol w:w="2362"/>
        <w:gridCol w:w="2362"/>
        <w:gridCol w:w="2362"/>
        <w:gridCol w:w="2363"/>
        <w:gridCol w:w="2363"/>
      </w:tblGrid>
      <w:tr>
        <w:tblPrEx>
          <w:tblW w:w="141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2301" w:type="auto"/>
            <w:gridSpan w:val="4"/>
            <w:tcBorders>
              <w:bottom w:val="single" w:sz="4" w:space="0" w:color="auto"/>
              <w:tl2br w:val="nil"/>
              <w:tr2bl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天津市西青区启智学校</w:t>
            </w:r>
          </w:p>
        </w:tc>
        <w:tc>
          <w:tcPr>
            <w:tcW w:w="2299" w:type="dxa"/>
            <w:tcBorders>
              <w:bottom w:val="single" w:sz="4" w:space="0" w:color="auto"/>
              <w:tl2br w:val="nil"/>
              <w:tr2bl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2299" w:type="dxa"/>
            <w:tcBorders>
              <w:bottom w:val="single" w:sz="4" w:space="0" w:color="auto"/>
              <w:tl2br w:val="nil"/>
              <w:tr2bl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68" w:type="dxa"/>
          <w:jc w:val="center"/>
          <w:tblCellMar>
            <w:top w:w="0" w:type="dxa"/>
            <w:left w:w="108" w:type="dxa"/>
            <w:bottom w:w="0" w:type="dxa"/>
            <w:right w:w="108" w:type="dxa"/>
          </w:tblCellMar>
          <w:tblLook w:val="0000"/>
        </w:tblPrEx>
        <w:trPr>
          <w:trHeight w:hRule="auto" w:val="0"/>
          <w:jc w:val="center"/>
        </w:trPr>
        <w:tc>
          <w:tcPr>
            <w:tcW w:w="2298" w:type="auto"/>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2672" w:type="auto"/>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因公出国（境）费</w:t>
            </w:r>
          </w:p>
        </w:tc>
        <w:tc>
          <w:tcPr>
            <w:tcW w:w="2301" w:type="auto"/>
            <w:gridSpan w:val="3"/>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公务用车购置及运行维护费</w:t>
            </w:r>
          </w:p>
        </w:tc>
        <w:tc>
          <w:tcPr>
            <w:tcW w:w="2299" w:type="dxa"/>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公务接待费</w:t>
            </w:r>
          </w:p>
        </w:tc>
      </w:tr>
      <w:tr>
        <w:tblPrEx>
          <w:tblW w:w="14168" w:type="dxa"/>
          <w:jc w:val="center"/>
          <w:tblCellMar>
            <w:top w:w="0" w:type="dxa"/>
            <w:left w:w="108" w:type="dxa"/>
            <w:bottom w:w="0" w:type="dxa"/>
            <w:right w:w="108" w:type="dxa"/>
          </w:tblCellMar>
          <w:tblLook w:val="0000"/>
        </w:tblPrEx>
        <w:trPr>
          <w:trHeight w:hRule="auto" w:val="0"/>
          <w:jc w:val="center"/>
        </w:trPr>
        <w:tc>
          <w:tcPr>
            <w:tcW w:w="2298" w:type="auto"/>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c>
          <w:tcPr>
            <w:tcW w:w="2672" w:type="auto"/>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99" w:type="auto"/>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2301" w:type="auto"/>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购置费</w:t>
            </w: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运行维护费</w:t>
            </w:r>
          </w:p>
        </w:tc>
        <w:tc>
          <w:tcPr>
            <w:tcW w:w="2299" w:type="dxa"/>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68" w:type="dxa"/>
          <w:jc w:val="center"/>
          <w:tblCellMar>
            <w:top w:w="0" w:type="dxa"/>
            <w:left w:w="108" w:type="dxa"/>
            <w:bottom w:w="0" w:type="dxa"/>
            <w:right w:w="108" w:type="dxa"/>
          </w:tblCellMar>
          <w:tblLook w:val="0000"/>
        </w:tblPrEx>
        <w:trPr>
          <w:trHeight w:hRule="auto" w:val="0"/>
          <w:jc w:val="center"/>
        </w:trPr>
        <w:tc>
          <w:tcPr>
            <w:tcW w:w="2298"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672"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301"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14168" w:type="dxa"/>
          <w:jc w:val="center"/>
          <w:tblCellMar>
            <w:top w:w="0" w:type="dxa"/>
            <w:left w:w="108" w:type="dxa"/>
            <w:bottom w:w="0" w:type="dxa"/>
            <w:right w:w="108" w:type="dxa"/>
          </w:tblCellMar>
          <w:tblLook w:val="0000"/>
        </w:tblPrEx>
        <w:trPr>
          <w:trHeight w:hRule="auto" w:val="0"/>
          <w:jc w:val="center"/>
        </w:trPr>
        <w:tc>
          <w:tcPr>
            <w:tcW w:w="14168" w:type="dxa"/>
            <w:gridSpan w:val="6"/>
            <w:tcBorders>
              <w:top w:val="single" w:sz="4" w:space="0" w:color="auto"/>
              <w:tl2br w:val="nil"/>
              <w:tr2bl w:val="nil"/>
            </w:tcBorders>
            <w:vAlign w:val="center"/>
          </w:tcPr>
          <w:p>
            <w:pPr>
              <w:divId w:val="0"/>
              <w:snapToGrid w:val="0"/>
              <w:jc w:val="left"/>
              <w:rPr>
                <w:rFonts w:ascii="等线" w:eastAsia="等线" w:hAnsi="等线" w:cs="等线"/>
                <w:b w:val="0"/>
                <w:bCs w:val="0"/>
                <w:i w:val="0"/>
                <w:iCs w:val="0"/>
                <w:color w:val="333333"/>
                <w:spacing w:val="0"/>
                <w:w w:val="100"/>
                <w:sz w:val="20"/>
                <w:szCs w:val="20"/>
                <w:vertAlign w:val="baseline"/>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注：本表反映本年度一般公共预算和政府性基金预</w:t>
            </w:r>
            <w:r>
              <w:rPr>
                <w:rFonts w:ascii="等线" w:eastAsia="等线" w:hAnsi="等线" w:cs="等线" w:hint="eastAsia"/>
                <w:b w:val="0"/>
                <w:bCs w:val="0"/>
                <w:i w:val="0"/>
                <w:iCs w:val="0"/>
                <w:color w:val="333333"/>
                <w:spacing w:val="0"/>
                <w:w w:val="100"/>
                <w:sz w:val="20"/>
                <w:szCs w:val="20"/>
                <w:vertAlign w:val="baseline"/>
              </w:rPr>
              <w:t xml:space="preserve">算</w:t>
            </w:r>
            <w:r>
              <w:rPr>
                <w:rFonts w:ascii="等线" w:eastAsia="等线" w:hAnsi="等线" w:cs="等线" w:hint="eastAsia"/>
                <w:b w:val="0"/>
                <w:bCs w:val="0"/>
                <w:i w:val="0"/>
                <w:iCs w:val="0"/>
                <w:color w:val="333333"/>
                <w:spacing w:val="0"/>
                <w:w w:val="100"/>
                <w:sz w:val="20"/>
                <w:szCs w:val="20"/>
                <w:vertAlign w:val="baseline"/>
              </w:rPr>
              <w:t xml:space="preserve">“</w:t>
            </w:r>
            <w:r>
              <w:rPr>
                <w:rFonts w:ascii="等线" w:eastAsia="等线" w:hAnsi="等线" w:cs="等线" w:hint="eastAsia"/>
                <w:b w:val="0"/>
                <w:bCs w:val="0"/>
                <w:i w:val="0"/>
                <w:iCs w:val="0"/>
                <w:color w:val="333333"/>
                <w:spacing w:val="0"/>
                <w:w w:val="100"/>
                <w:sz w:val="20"/>
                <w:szCs w:val="20"/>
                <w:vertAlign w:val="baseline"/>
              </w:rPr>
              <w:t xml:space="preserve">三</w:t>
            </w:r>
            <w:r>
              <w:rPr>
                <w:rFonts w:ascii="等线" w:eastAsia="等线" w:hAnsi="等线" w:cs="等线" w:hint="eastAsia"/>
                <w:b w:val="0"/>
                <w:bCs w:val="0"/>
                <w:i w:val="0"/>
                <w:iCs w:val="0"/>
                <w:color w:val="333333"/>
                <w:spacing w:val="0"/>
                <w:w w:val="100"/>
                <w:sz w:val="20"/>
                <w:szCs w:val="20"/>
                <w:vertAlign w:val="baseline"/>
              </w:rPr>
              <w:t xml:space="preserve">公</w:t>
            </w:r>
            <w:r>
              <w:rPr>
                <w:rFonts w:ascii="等线" w:eastAsia="等线" w:hAnsi="等线" w:cs="等线" w:hint="eastAsia"/>
                <w:b w:val="0"/>
                <w:bCs w:val="0"/>
                <w:i w:val="0"/>
                <w:iCs w:val="0"/>
                <w:color w:val="333333"/>
                <w:spacing w:val="0"/>
                <w:w w:val="100"/>
                <w:sz w:val="20"/>
                <w:szCs w:val="20"/>
                <w:vertAlign w:val="baseline"/>
              </w:rPr>
              <w:t xml:space="preserve">”</w:t>
            </w:r>
            <w:r>
              <w:rPr>
                <w:rFonts w:ascii="等线" w:eastAsia="等线" w:hAnsi="等线" w:cs="等线" w:hint="eastAsia"/>
                <w:b w:val="0"/>
                <w:bCs w:val="0"/>
                <w:i w:val="0"/>
                <w:iCs w:val="0"/>
                <w:color w:val="333333"/>
                <w:spacing w:val="0"/>
                <w:w w:val="100"/>
                <w:sz w:val="20"/>
                <w:szCs w:val="20"/>
                <w:vertAlign w:val="baseline"/>
              </w:rPr>
              <w:t xml:space="preserve">经费支出决算情况。</w:t>
            </w:r>
          </w:p>
        </w:tc>
      </w:tr>
    </w:tbl>
    <w:p>
      <w:pPr>
        <w:divId w:val="0"/>
        <w:snapToGrid w:val="0"/>
        <w:jc w:val="left"/>
        <w:rPr>
          <w:rFonts w:ascii="等线" w:eastAsia="等线" w:hAnsi="等线" w:cs="等线" w:hint="eastAsia"/>
          <w:b w:val="0"/>
          <w:bCs w:val="0"/>
          <w:i w:val="0"/>
          <w:iCs w:val="0"/>
          <w:color w:val="333333"/>
          <w:spacing w:val="0"/>
          <w:w w:val="100"/>
          <w:sz w:val="20"/>
          <w:szCs w:val="20"/>
          <w:vertAlign w:val="baseline"/>
          <w:lang w:val="en-US" w:eastAsia="zh-CN"/>
        </w:rPr>
      </w:pPr>
      <w:r>
        <w:rPr>
          <w:rFonts w:ascii="等线" w:eastAsia="等线" w:hAnsi="等线" w:cs="等线" w:hint="eastAsia"/>
          <w:b w:val="0"/>
          <w:bCs w:val="0"/>
          <w:i w:val="0"/>
          <w:iCs w:val="0"/>
          <w:color w:val="333333"/>
          <w:spacing w:val="0"/>
          <w:w w:val="100"/>
          <w:sz w:val="20"/>
          <w:szCs w:val="20"/>
          <w:vertAlign w:val="baseline"/>
          <w:lang w:val="en-US" w:eastAsia="zh-CN"/>
        </w:rPr>
        <w:t xml:space="preserve">天津市西青区启智学校2025年财政拨款“三公”经费支出决算表为空表。</w:t>
      </w:r>
    </w:p>
    <w:p>
      <w:pPr>
        <w:pStyle w:val="标题2"/>
        <w:wordWrap w:val="0"/>
        <w:spacing w:before="0" w:after="0" w:line="800" w:lineRule="exact"/>
        <w:ind w:firstLine="600" w:firstLineChars="200"/>
        <w:rPr>
          <w:rFonts w:ascii="黑体" w:eastAsia="黑体" w:hAnsi="黑体" w:hint="eastAsia"/>
          <w:b w:val="0"/>
          <w:sz w:val="30"/>
          <w:szCs w:val="30"/>
          <w:highlight w:val="none"/>
        </w:rPr>
      </w:pPr>
      <w:r>
        <w:rPr>
          <w:rFonts w:ascii="黑体" w:eastAsia="黑体" w:hAnsi="仿宋" w:hint="eastAsia"/>
          <w:sz w:val="21"/>
          <w:szCs w:val="21"/>
          <w:lang w:val="en-US" w:eastAsia="zh-CN"/>
        </w:rPr>
        <w:br w:type="page"/>
      </w:r>
      <w:bookmarkStart w:id="14" w:name="_Toc28580"/>
      <w:r>
        <w:rPr>
          <w:rFonts w:ascii="黑体" w:eastAsia="黑体" w:hAnsi="黑体" w:hint="eastAsia"/>
          <w:b/>
          <w:bCs/>
          <w:sz w:val="30"/>
          <w:szCs w:val="30"/>
          <w:lang w:val="en-US" w:eastAsia="zh-CN"/>
        </w:rPr>
        <w:t xml:space="preserve">十一、《项目支出决算表》</w:t>
      </w:r>
      <w:bookmarkEnd w:id="14"/>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82"/>
        <w:gridCol w:w="894"/>
        <w:gridCol w:w="2133"/>
        <w:gridCol w:w="2133"/>
        <w:gridCol w:w="2133"/>
        <w:gridCol w:w="2133"/>
        <w:gridCol w:w="2133"/>
        <w:gridCol w:w="2133"/>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val="567"/>
          <w:jc w:val="center"/>
        </w:trPr>
        <w:tc>
          <w:tcPr>
            <w:tcW w:w="1701" w:type="dxa"/>
            <w:gridSpan w:val="4"/>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天津市西青区启智学校</w:t>
            </w: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val="567"/>
          <w:jc w:val="center"/>
        </w:trPr>
        <w:tc>
          <w:tcPr>
            <w:tcW w:w="1020" w:type="dxa"/>
            <w:vMerge w:val="restart"/>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268" w:type="dxa"/>
            <w:vMerge w:val="restart"/>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gridSpan w:val="6"/>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年</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支</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出</w:t>
            </w:r>
          </w:p>
        </w:tc>
      </w:tr>
      <w:tr>
        <w:tblPrEx>
          <w:tblW w:w="5000" w:type="pct"/>
          <w:jc w:val="center"/>
          <w:tblCellMar>
            <w:top w:w="0" w:type="dxa"/>
            <w:left w:w="108" w:type="dxa"/>
            <w:bottom w:w="0" w:type="dxa"/>
            <w:right w:w="108" w:type="dxa"/>
          </w:tblCellMar>
          <w:tblLook w:val="0000"/>
        </w:tblPrEx>
        <w:trPr>
          <w:trHeight w:val="567"/>
          <w:jc w:val="center"/>
        </w:trPr>
        <w:tc>
          <w:tcPr>
            <w:tcW w:w="1020" w:type="dxa"/>
            <w:vMerge/>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一般公共</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政府性基金</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国有资本</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经营预算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财政专户</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管理资金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单位资金</w:t>
            </w: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610380.47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610380.47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530306.74</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530306.74</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20507</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特殊教育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530306.74</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530306.74</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2050701</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特殊学校教育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530306.74</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530306.74</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2050701</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2024-2025学年送教入户经费</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20000.00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20000.00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2050701</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教育系统综合业务费</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463616.74</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463616.74</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2050701</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启智学校免费午餐项目</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46690.00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46690.00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208</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社会保障和就业支出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80073.73</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80073.73</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20811</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残疾人事业</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80073.73</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80073.73</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2081106</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残疾人体育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80073.73</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80073.73</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2081106</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2025备战特奥项目资金</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80073.73</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80073.73</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701"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注：本表反映本年度项目支出决算情况，其中支出数包括当年预算资金和以前年度结转资金安排的合计实际支出。</w:t>
            </w:r>
          </w:p>
        </w:tc>
      </w:tr>
    </w:tbl>
    <w:p>
      <w:pPr>
        <w:sectPr>
          <w:footerReference w:type="default" r:id="rId7"/>
          <w:type w:val="nextPage"/>
          <w:pgSz w:w="16838" w:h="11906" w:orient="landscape"/>
          <w:pgMar w:top="1800" w:right="1440" w:bottom="1800" w:left="144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itlePg w:val="0"/>
          <w:textDirection w:val="lrTb"/>
          <w:docGrid w:type="lines" w:linePitch="312"/>
        </w:sectPr>
      </w:pPr>
    </w:p>
    <w:p>
      <w:pPr>
        <w:pStyle w:val="标题1"/>
        <w:wordWrap w:val="0"/>
        <w:spacing w:before="0" w:after="0" w:line="600" w:lineRule="exact"/>
        <w:jc w:val="center"/>
        <w:rPr>
          <w:rFonts w:ascii="方正小标宋简体" w:eastAsia="方正小标宋简体" w:hAnsi="方正小标宋简体" w:cs="方正小标宋简体"/>
          <w:b w:val="0"/>
          <w:sz w:val="44"/>
          <w:szCs w:val="44"/>
          <w:highlight w:val="none"/>
        </w:rPr>
      </w:pPr>
      <w:bookmarkStart w:id="15" w:name="_Toc4394"/>
      <w:r>
        <w:rPr>
          <w:rFonts w:ascii="方正小标宋简体" w:eastAsia="方正小标宋简体" w:hAnsi="方正小标宋简体" w:cs="方正小标宋简体" w:hint="eastAsia"/>
          <w:b w:val="0"/>
          <w:bCs w:val="0"/>
          <w:lang w:val="en-US" w:eastAsia="zh-CN"/>
        </w:rPr>
        <w:t xml:space="preserve">第三部分  2025年度单位决算情况说明</w:t>
      </w:r>
      <w:bookmarkEnd w:id="15"/>
    </w:p>
    <w:p>
      <w:pPr>
        <w:divId w:val="0"/>
        <w:spacing w:line="600" w:lineRule="exact"/>
        <w:ind w:firstLine="600" w:firstLineChars="200"/>
        <w:rPr>
          <w:rFonts w:ascii="黑体" w:eastAsia="黑体" w:hint="eastAsia"/>
          <w:sz w:val="30"/>
          <w:szCs w:val="30"/>
          <w:highlight w:val="none"/>
        </w:rPr>
      </w:pPr>
    </w:p>
    <w:p>
      <w:pPr>
        <w:pStyle w:val="标题2"/>
        <w:wordWrap w:val="0"/>
        <w:spacing w:before="0" w:after="0" w:line="600" w:lineRule="exact"/>
        <w:ind w:firstLine="600" w:firstLineChars="200"/>
        <w:rPr>
          <w:rFonts w:ascii="黑体" w:eastAsia="黑体" w:hAnsi="黑体" w:cs="方正仿宋_GB2312" w:hint="eastAsia"/>
          <w:bCs w:val="0"/>
          <w:sz w:val="30"/>
          <w:szCs w:val="30"/>
          <w:lang w:val="en-US" w:eastAsia="zh-CN"/>
        </w:rPr>
      </w:pPr>
      <w:bookmarkStart w:id="16" w:name="_Toc10264"/>
      <w:r>
        <w:rPr>
          <w:rFonts w:ascii="黑体" w:eastAsia="黑体" w:hAnsi="黑体" w:cs="方正仿宋_GB2312" w:hint="eastAsia"/>
          <w:bCs w:val="0"/>
          <w:sz w:val="30"/>
          <w:szCs w:val="30"/>
          <w:lang w:val="en-US" w:eastAsia="zh-CN"/>
        </w:rPr>
        <w:t xml:space="preserve">一、收入支出决算总体情况说明</w:t>
      </w:r>
      <w:bookmarkEnd w:id="16"/>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天津市西青区启智学校</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年度收入、支出决算总</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13,350,887.23</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年度相比，收、支总计</w:t>
      </w:r>
      <w:r>
        <w:rPr>
          <w:rFonts w:eastAsia="仿宋_GB2312" w:hint="eastAsia"/>
          <w:sz w:val="30"/>
          <w:szCs w:val="30"/>
          <w:highlight w:val="none"/>
          <w:lang w:val="en-US" w:eastAsia="zh-CN"/>
        </w:rPr>
        <w:t xml:space="preserve">各</w:t>
      </w:r>
      <w:r>
        <w:rPr>
          <w:rFonts w:eastAsia="仿宋_GB2312" w:hint="eastAsia"/>
          <w:sz w:val="30"/>
          <w:szCs w:val="30"/>
          <w:highlight w:val="none"/>
          <w:lang w:val="en-US" w:eastAsia="zh-CN"/>
        </w:rPr>
        <w:t xml:space="preserve">减少1,311,296.92元，下降8.94%</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落实过紧日子精神，本年公用经费、人员经费及项目经费收支均有所减少</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收入包括：</w:t>
      </w:r>
      <w:r>
        <w:rPr>
          <w:rFonts w:eastAsia="仿宋_GB2312" w:hint="eastAsia"/>
          <w:sz w:val="30"/>
          <w:szCs w:val="30"/>
          <w:highlight w:val="none"/>
          <w:lang w:val="en-US" w:eastAsia="zh-CN"/>
        </w:rPr>
        <w:t xml:space="preserve">一般公共预算财政拨款收入13,350,887.23元</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支出包括：</w:t>
      </w:r>
      <w:r>
        <w:rPr>
          <w:rFonts w:eastAsia="仿宋_GB2312" w:hint="eastAsia"/>
          <w:sz w:val="30"/>
          <w:szCs w:val="30"/>
          <w:highlight w:val="none"/>
          <w:lang w:val="en-US" w:eastAsia="zh-CN"/>
        </w:rPr>
        <w:t xml:space="preserve">教育支出13,270,813.50元、社会保障和就业支出80,073.73元</w:t>
      </w:r>
      <w:r>
        <w:rPr>
          <w:rFonts w:eastAsia="仿宋_GB2312" w:hint="eastAsia"/>
          <w:sz w:val="30"/>
          <w:szCs w:val="30"/>
          <w:highlight w:val="none"/>
          <w:lang w:val="en-US" w:eastAsia="zh-CN"/>
        </w:rPr>
        <w:t xml:space="preserve">。</w:t>
      </w:r>
    </w:p>
    <w:p>
      <w:pPr>
        <w:pStyle w:val="标题2"/>
        <w:wordWrap w:val="0"/>
        <w:spacing w:before="0" w:after="0" w:line="600" w:lineRule="exact"/>
        <w:ind w:firstLine="600" w:firstLineChars="200"/>
        <w:rPr>
          <w:rFonts w:ascii="黑体" w:eastAsia="黑体" w:hAnsi="黑体" w:cs="方正仿宋_GB2312" w:hint="eastAsia"/>
          <w:bCs w:val="0"/>
          <w:sz w:val="30"/>
          <w:szCs w:val="30"/>
          <w:lang w:val="en-US" w:eastAsia="zh-CN"/>
        </w:rPr>
      </w:pPr>
      <w:bookmarkStart w:id="17" w:name="_Toc10173"/>
      <w:r>
        <w:rPr>
          <w:rFonts w:ascii="黑体" w:eastAsia="黑体" w:hAnsi="黑体" w:cs="方正仿宋_GB2312" w:hint="eastAsia"/>
          <w:bCs w:val="0"/>
          <w:sz w:val="30"/>
          <w:szCs w:val="30"/>
          <w:lang w:val="en-US" w:eastAsia="zh-CN"/>
        </w:rPr>
        <w:t xml:space="preserve">二、收入决算情况说明</w:t>
      </w:r>
      <w:bookmarkEnd w:id="17"/>
    </w:p>
    <w:p>
      <w:pPr>
        <w:divId w:val="0"/>
        <w:spacing w:line="600" w:lineRule="exact"/>
        <w:ind w:firstLine="600"/>
        <w:rPr>
          <w:rFonts w:eastAsia="仿宋_GB2312" w:hint="eastAsia"/>
          <w:sz w:val="30"/>
          <w:szCs w:val="30"/>
          <w:highlight w:val="yellow"/>
          <w:lang w:val="en-US" w:eastAsia="zh-CN"/>
        </w:rPr>
      </w:pPr>
      <w:r>
        <w:rPr>
          <w:rFonts w:eastAsia="仿宋_GB2312" w:hint="eastAsia"/>
          <w:sz w:val="30"/>
          <w:szCs w:val="30"/>
          <w:highlight w:val="none"/>
          <w:lang w:val="en-US" w:eastAsia="zh-CN"/>
        </w:rPr>
        <w:t xml:space="preserve">天津市西青区启智学校</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年度本年收入合</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13,350,887.23</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减少1,311,296.92元，</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落实过紧日子精神，本年公用经费、人员经费及项目经费收支均有所减少</w:t>
      </w:r>
      <w:r>
        <w:rPr>
          <w:rFonts w:eastAsia="仿宋_GB2312" w:hint="eastAsia"/>
          <w:sz w:val="30"/>
          <w:szCs w:val="30"/>
          <w:highlight w:val="none"/>
          <w:lang w:val="en-US" w:eastAsia="zh-CN"/>
        </w:rPr>
        <w:t xml:space="preserve">。其中：</w:t>
      </w:r>
      <w:r>
        <w:rPr>
          <w:rFonts w:eastAsia="仿宋_GB2312" w:hint="eastAsia"/>
          <w:sz w:val="30"/>
          <w:szCs w:val="30"/>
          <w:highlight w:val="none"/>
          <w:lang w:val="en-US" w:eastAsia="zh-CN"/>
        </w:rPr>
        <w:t xml:space="preserve">一般公共预算财政拨款收入13,350,887.23元，占100.00%</w:t>
      </w:r>
      <w:r>
        <w:rPr>
          <w:rFonts w:eastAsia="仿宋_GB2312" w:hint="eastAsia"/>
          <w:sz w:val="30"/>
          <w:szCs w:val="30"/>
          <w:highlight w:val="none"/>
          <w:lang w:val="en-US" w:eastAsia="zh-CN"/>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18" w:name="_Toc30390"/>
      <w:r>
        <w:rPr>
          <w:rFonts w:ascii="黑体" w:eastAsia="黑体" w:hAnsi="黑体" w:cs="方正仿宋_GB2312" w:hint="eastAsia"/>
          <w:bCs w:val="0"/>
          <w:sz w:val="30"/>
          <w:szCs w:val="30"/>
          <w:highlight w:val="none"/>
          <w:u w:val="none"/>
          <w:lang w:val="en-US" w:eastAsia="zh-CN"/>
        </w:rPr>
        <w:t xml:space="preserve">三、支出决算情况说明</w:t>
      </w:r>
      <w:bookmarkEnd w:id="18"/>
    </w:p>
    <w:p>
      <w:pPr>
        <w:divId w:val="0"/>
        <w:spacing w:line="600" w:lineRule="exact"/>
        <w:ind w:firstLine="600" w:firstLineChars="200"/>
        <w:rPr>
          <w:rFonts w:eastAsia="仿宋_GB2312" w:hint="eastAsia"/>
          <w:sz w:val="30"/>
          <w:szCs w:val="30"/>
          <w:highlight w:val="yellow"/>
          <w:lang w:val="en-US" w:eastAsia="zh-CN"/>
        </w:rPr>
      </w:pPr>
      <w:r>
        <w:rPr>
          <w:rFonts w:eastAsia="仿宋_GB2312" w:hint="eastAsia"/>
          <w:sz w:val="30"/>
          <w:szCs w:val="30"/>
          <w:highlight w:val="none"/>
          <w:lang w:val="en-US" w:eastAsia="zh-CN"/>
        </w:rPr>
        <w:t xml:space="preserve">天津市西青区启智学校</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年度本年支出合</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13,350,887.23</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减少1,311,296.92元，</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落实过紧日子精神，本年公用经费、人员经费及项目经费收支均有所减少</w:t>
      </w:r>
      <w:r>
        <w:rPr>
          <w:rFonts w:eastAsia="仿宋_GB2312" w:hint="eastAsia"/>
          <w:sz w:val="30"/>
          <w:szCs w:val="30"/>
          <w:highlight w:val="none"/>
          <w:lang w:val="en-US" w:eastAsia="zh-CN"/>
        </w:rPr>
        <w:t xml:space="preserve">。其中：</w:t>
      </w:r>
      <w:r>
        <w:rPr>
          <w:rFonts w:eastAsia="仿宋_GB2312" w:hint="eastAsia"/>
          <w:sz w:val="30"/>
          <w:szCs w:val="30"/>
          <w:highlight w:val="none"/>
        </w:rPr>
        <w:t xml:space="preserve">基本支出12,740,506.76元，占95.43%；项目支出610,380.47元，占4.57%</w:t>
      </w:r>
      <w:r>
        <w:rPr>
          <w:rFonts w:eastAsia="仿宋_GB2312" w:hint="eastAsia"/>
          <w:sz w:val="30"/>
          <w:szCs w:val="30"/>
          <w:highlight w:val="none"/>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19" w:name="_Toc3712"/>
      <w:r>
        <w:rPr>
          <w:rFonts w:ascii="黑体" w:eastAsia="黑体" w:hAnsi="黑体" w:cs="方正仿宋_GB2312" w:hint="eastAsia"/>
          <w:bCs w:val="0"/>
          <w:sz w:val="30"/>
          <w:szCs w:val="30"/>
          <w:highlight w:val="none"/>
          <w:u w:val="none"/>
          <w:lang w:val="en-US" w:eastAsia="zh-CN"/>
        </w:rPr>
        <w:t xml:space="preserve">四、财政拨款收支决算总体情况说明</w:t>
      </w:r>
      <w:bookmarkEnd w:id="19"/>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天津市西青区启智学校</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年度财政拨款收入、支出决算总</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13,350,887.23</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年度相比，财政拨款收、支总计</w:t>
      </w:r>
      <w:r>
        <w:rPr>
          <w:rFonts w:eastAsia="仿宋_GB2312" w:hint="eastAsia"/>
          <w:sz w:val="30"/>
          <w:szCs w:val="30"/>
          <w:highlight w:val="none"/>
          <w:lang w:val="en-US" w:eastAsia="zh-CN"/>
        </w:rPr>
        <w:t xml:space="preserve">各</w:t>
      </w:r>
      <w:r>
        <w:rPr>
          <w:rFonts w:eastAsia="仿宋_GB2312" w:hint="eastAsia"/>
          <w:sz w:val="30"/>
          <w:szCs w:val="30"/>
          <w:highlight w:val="none"/>
          <w:lang w:val="en-US" w:eastAsia="zh-CN"/>
        </w:rPr>
        <w:t xml:space="preserve">减少1,311,296.92元，下降8.94%，</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落实过紧日子精神，本年公用经费、人员经费及项目经费收支均有所减少</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收入包括：</w:t>
      </w:r>
      <w:r>
        <w:rPr>
          <w:rFonts w:eastAsia="仿宋_GB2312" w:hint="eastAsia"/>
          <w:sz w:val="30"/>
          <w:szCs w:val="30"/>
          <w:highlight w:val="none"/>
          <w:lang w:val="en-US" w:eastAsia="zh-CN"/>
        </w:rPr>
        <w:t xml:space="preserve">一般公共预算财政拨款13,350,887.23元</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支出包括：</w:t>
      </w:r>
      <w:r>
        <w:rPr>
          <w:rFonts w:eastAsia="仿宋_GB2312" w:hint="eastAsia"/>
          <w:sz w:val="30"/>
          <w:szCs w:val="30"/>
          <w:highlight w:val="none"/>
          <w:lang w:val="en-US" w:eastAsia="zh-CN"/>
        </w:rPr>
        <w:t xml:space="preserve">教育支出13,270,813.50元、社会保障和就业支出80,073.73元</w:t>
      </w:r>
      <w:r>
        <w:rPr>
          <w:rFonts w:eastAsia="仿宋_GB2312" w:hint="eastAsia"/>
          <w:sz w:val="30"/>
          <w:szCs w:val="30"/>
          <w:highlight w:val="none"/>
          <w:lang w:val="en-US" w:eastAsia="zh-CN"/>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20" w:name="_Toc11697"/>
      <w:r>
        <w:rPr>
          <w:rFonts w:ascii="黑体" w:eastAsia="黑体" w:hAnsi="黑体" w:cs="方正仿宋_GB2312" w:hint="eastAsia"/>
          <w:bCs w:val="0"/>
          <w:sz w:val="30"/>
          <w:szCs w:val="30"/>
          <w:highlight w:val="none"/>
          <w:u w:val="none"/>
          <w:lang w:val="en-US" w:eastAsia="zh-CN"/>
        </w:rPr>
        <w:t xml:space="preserve">五、一般公共预算财政拨款支出决算情况说明</w:t>
      </w:r>
      <w:bookmarkEnd w:id="20"/>
    </w:p>
    <w:p>
      <w:pPr>
        <w:divId w:val="0"/>
        <w:spacing w:line="600" w:lineRule="exact"/>
        <w:ind w:left="480" w:leftChars="200"/>
        <w:rPr>
          <w:rFonts w:ascii="楷体" w:eastAsia="楷体" w:hAnsi="楷体" w:cs="方正仿宋_GB2312" w:hint="eastAsia"/>
          <w:b/>
          <w:sz w:val="30"/>
          <w:szCs w:val="30"/>
          <w:highlight w:val="none"/>
        </w:rPr>
      </w:pPr>
      <w:r>
        <w:rPr>
          <w:rFonts w:ascii="楷体" w:eastAsia="楷体" w:hAnsi="楷体" w:cs="方正仿宋_GB2312" w:hint="eastAsia"/>
          <w:b/>
          <w:sz w:val="30"/>
          <w:szCs w:val="30"/>
          <w:lang w:val="en-US" w:eastAsia="zh-CN"/>
        </w:rPr>
        <w:t xml:space="preserve">（一）总体情况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天津市西青区启智学校2025年度一般公共预算财政拨款支出合计13,350,887.23元，占本年支出合计的100.00%。与2024年度相比，一般公共预算财政拨款支出</w:t>
      </w:r>
      <w:r>
        <w:rPr>
          <w:rFonts w:eastAsia="仿宋_GB2312" w:hint="eastAsia"/>
          <w:sz w:val="30"/>
          <w:szCs w:val="30"/>
          <w:highlight w:val="none"/>
          <w:lang w:val="en-US" w:eastAsia="zh-CN"/>
        </w:rPr>
        <w:t xml:space="preserve">减少1,311,296.92元</w:t>
      </w:r>
      <w:r>
        <w:rPr>
          <w:rFonts w:eastAsia="仿宋_GB2312" w:hint="eastAsia"/>
          <w:sz w:val="30"/>
          <w:szCs w:val="30"/>
          <w:highlight w:val="none"/>
          <w:lang w:val="en-US" w:eastAsia="zh-CN"/>
        </w:rPr>
        <w:t xml:space="preserve">,下降8.94%</w:t>
      </w:r>
      <w:r>
        <w:rPr>
          <w:rFonts w:eastAsia="仿宋_GB2312" w:hint="eastAsia"/>
          <w:sz w:val="30"/>
          <w:szCs w:val="30"/>
          <w:highlight w:val="none"/>
          <w:lang w:val="en-US" w:eastAsia="zh-CN"/>
        </w:rPr>
        <w:t xml:space="preserve">，主要原因是落实过紧日子精神，本年公用经费、人员经费及项目经费收支均有所减少。</w:t>
      </w:r>
    </w:p>
    <w:p>
      <w:pPr>
        <w:divId w:val="0"/>
        <w:spacing w:line="600" w:lineRule="exact"/>
        <w:ind w:firstLine="600" w:firstLineChars="200"/>
        <w:rPr>
          <w:rFonts w:ascii="楷体" w:eastAsia="楷体" w:hAnsi="楷体" w:cs="方正仿宋_GB2312" w:hint="eastAsia"/>
          <w:b/>
          <w:sz w:val="30"/>
          <w:szCs w:val="30"/>
          <w:highlight w:val="none"/>
          <w:lang w:val="en-US" w:eastAsia="zh-CN"/>
        </w:rPr>
      </w:pPr>
      <w:r>
        <w:rPr>
          <w:rFonts w:ascii="楷体" w:eastAsia="楷体" w:hAnsi="楷体" w:cs="方正仿宋_GB2312" w:hint="eastAsia"/>
          <w:b/>
          <w:sz w:val="30"/>
          <w:szCs w:val="30"/>
          <w:lang w:val="en-US" w:eastAsia="zh-CN"/>
        </w:rPr>
        <w:t xml:space="preserve">（二）支出结构情况</w:t>
      </w:r>
    </w:p>
    <w:p>
      <w:pPr>
        <w:divId w:val="0"/>
        <w:spacing w:line="600" w:lineRule="exact"/>
        <w:ind w:firstLine="600" w:firstLineChars="200"/>
        <w:rPr>
          <w:rFonts w:eastAsia="仿宋_GB2312"/>
          <w:sz w:val="30"/>
          <w:szCs w:val="30"/>
          <w:highlight w:val="none"/>
        </w:rPr>
      </w:pPr>
      <w:r>
        <w:rPr>
          <w:rFonts w:eastAsia="仿宋_GB2312" w:hint="eastAsia"/>
          <w:sz w:val="30"/>
          <w:szCs w:val="30"/>
          <w:highlight w:val="none"/>
          <w:lang w:val="en-US" w:eastAsia="zh-CN"/>
        </w:rPr>
        <w:t xml:space="preserve">2025年度一般公共预算财政拨款支出13,350,887.23元，主要用于以下方面：</w:t>
      </w:r>
      <w:r>
        <w:rPr>
          <w:rFonts w:eastAsia="仿宋_GB2312" w:hint="eastAsia"/>
          <w:sz w:val="30"/>
          <w:szCs w:val="30"/>
          <w:highlight w:val="none"/>
        </w:rPr>
        <w:t xml:space="preserve">教育支出（类）支出13,270,813.50元，占99.40%，社会保障和就业支出（类）支出80,073.73元，占0.60%</w:t>
      </w:r>
      <w:r>
        <w:rPr>
          <w:rFonts w:eastAsia="仿宋_GB2312" w:hint="eastAsia"/>
          <w:sz w:val="30"/>
          <w:szCs w:val="30"/>
          <w:highlight w:val="none"/>
        </w:rPr>
        <w:t xml:space="preserve">。</w:t>
      </w:r>
    </w:p>
    <w:p>
      <w:pPr>
        <w:divId w:val="0"/>
        <w:spacing w:line="600" w:lineRule="exact"/>
        <w:ind w:firstLine="600" w:firstLineChars="200"/>
        <w:rPr>
          <w:rFonts w:ascii="楷体" w:eastAsia="楷体" w:hAnsi="楷体" w:cs="方正仿宋_GB2312" w:hint="eastAsia"/>
          <w:b/>
          <w:sz w:val="30"/>
          <w:szCs w:val="30"/>
          <w:highlight w:val="none"/>
        </w:rPr>
      </w:pPr>
      <w:r>
        <w:rPr>
          <w:rFonts w:ascii="楷体" w:eastAsia="楷体" w:hAnsi="楷体" w:cs="方正仿宋_GB2312" w:hint="eastAsia"/>
          <w:b/>
          <w:sz w:val="30"/>
          <w:szCs w:val="30"/>
          <w:lang w:val="en-US" w:eastAsia="zh-CN"/>
        </w:rPr>
        <w:t xml:space="preserve">（三）具体情况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2025年度一般公共预算财政拨款支出年初预算为13,581,864.88元，支出决算为13,350,887.23元</w:t>
      </w:r>
      <w:r>
        <w:rPr>
          <w:rFonts w:eastAsia="仿宋_GB2312" w:hint="eastAsia"/>
          <w:sz w:val="30"/>
          <w:szCs w:val="30"/>
          <w:highlight w:val="none"/>
          <w:lang w:val="en-US" w:eastAsia="zh-CN"/>
        </w:rPr>
        <w:t xml:space="preserve">，完成年初预算的98.30%</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1.教育支出（类）特殊教育（款）特殊学校教育（项）年初预算为13,581,864.88元，支出决算为13,270,813.50元，完成年初预算的97.71%，决算数小于年初预算数的主要原因是：落实过紧日子精神，节约经费，缩减支出。</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2.社会保障和就业支出（类）残疾人事业（款）残疾人体育（项）年初预算为0.00元，支出决算为80,073.73元，决算数大于年初预算数的主要原因是：年中追加预算，用于2025备战特奥项目资金。</w:t>
      </w:r>
    </w:p>
    <w:p>
      <w:pPr>
        <w:pStyle w:val="标题2"/>
        <w:spacing w:before="0" w:after="0" w:line="600" w:lineRule="exact"/>
        <w:ind w:firstLine="600" w:firstLineChars="200"/>
        <w:rPr>
          <w:rFonts w:ascii="黑体" w:eastAsia="黑体" w:hAnsi="黑体"/>
          <w:b w:val="0"/>
          <w:sz w:val="30"/>
          <w:szCs w:val="30"/>
          <w:highlight w:val="none"/>
        </w:rPr>
      </w:pPr>
      <w:bookmarkStart w:id="21" w:name="_Toc32353"/>
      <w:r>
        <w:rPr>
          <w:rFonts w:ascii="黑体" w:eastAsia="黑体" w:hAnsi="黑体" w:cs="方正仿宋_GB2312" w:hint="eastAsia"/>
          <w:bCs w:val="0"/>
          <w:sz w:val="30"/>
          <w:szCs w:val="30"/>
          <w:highlight w:val="none"/>
          <w:u w:val="none"/>
          <w:lang w:val="en-US" w:eastAsia="zh-CN"/>
        </w:rPr>
        <w:t xml:space="preserve">六、一般公共预算财政拨款基本支出决算情况说明</w:t>
      </w:r>
      <w:bookmarkEnd w:id="21"/>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天津市西青区启智学校2025年度一般公共预算财政拨款基本支出合计12,740,506.76元，与2024年度相比</w:t>
      </w:r>
      <w:r>
        <w:rPr>
          <w:rFonts w:eastAsia="仿宋_GB2312" w:hint="eastAsia"/>
          <w:sz w:val="30"/>
          <w:szCs w:val="30"/>
          <w:highlight w:val="none"/>
          <w:lang w:val="en-US" w:eastAsia="zh-CN"/>
        </w:rPr>
        <w:t xml:space="preserve">减少735,492.32元，</w:t>
      </w:r>
      <w:r>
        <w:rPr>
          <w:rFonts w:eastAsia="仿宋_GB2312" w:hint="eastAsia"/>
          <w:sz w:val="30"/>
          <w:szCs w:val="30"/>
          <w:highlight w:val="none"/>
          <w:lang w:val="en-US" w:eastAsia="zh-CN"/>
        </w:rPr>
        <w:t xml:space="preserve">主要原因是公用经费及人员经费收支减少。</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人员经费11,632,113.95元，主要包括</w:t>
      </w:r>
      <w:r>
        <w:rPr>
          <w:rFonts w:eastAsia="仿宋_GB2312" w:hint="eastAsia"/>
          <w:sz w:val="30"/>
          <w:szCs w:val="30"/>
          <w:highlight w:val="none"/>
          <w:lang w:val="en-US" w:eastAsia="zh-CN"/>
        </w:rPr>
        <w:t xml:space="preserve">基本工资、津贴补贴、奖金、绩效工资、机关事业单位基本养老保险缴费、职业年金缴费、职工基本医疗保险缴费、其他社会保障缴费、住房公积金、医疗费、退休费、医疗费补助、其他对个人和家庭的补助</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公用经费1,108,392.81元，主要包括</w:t>
      </w:r>
      <w:r>
        <w:rPr>
          <w:rFonts w:eastAsia="仿宋_GB2312" w:hint="eastAsia"/>
          <w:sz w:val="30"/>
          <w:szCs w:val="30"/>
          <w:highlight w:val="none"/>
          <w:lang w:val="en-US" w:eastAsia="zh-CN"/>
        </w:rPr>
        <w:t xml:space="preserve">办公费、水费、电费、邮电费、取暖费、物业管理费、差旅费、维修(护)费、劳务费、委托业务费、其他交通费用、办公设备购置</w:t>
      </w:r>
      <w:r>
        <w:rPr>
          <w:rFonts w:eastAsia="仿宋_GB2312" w:hint="eastAsia"/>
          <w:sz w:val="30"/>
          <w:szCs w:val="30"/>
          <w:highlight w:val="none"/>
          <w:lang w:val="en-US" w:eastAsia="zh-CN"/>
        </w:rPr>
        <w:t xml:space="preserve">。</w:t>
      </w:r>
    </w:p>
    <w:p>
      <w:pPr>
        <w:pStyle w:val="标题2"/>
        <w:spacing w:before="0" w:after="0" w:line="600" w:lineRule="exact"/>
        <w:ind w:firstLine="600" w:firstLineChars="200"/>
        <w:rPr>
          <w:rFonts w:ascii="楷体" w:eastAsia="楷体" w:hAnsi="楷体" w:cs="方正仿宋_GB2312" w:hint="eastAsia"/>
          <w:b w:val="0"/>
          <w:sz w:val="30"/>
          <w:szCs w:val="30"/>
          <w:highlight w:val="none"/>
        </w:rPr>
      </w:pPr>
      <w:bookmarkStart w:id="22" w:name="_Toc7101"/>
      <w:r>
        <w:rPr>
          <w:rFonts w:ascii="黑体" w:eastAsia="黑体" w:hAnsi="黑体" w:cs="方正仿宋_GB2312" w:hint="eastAsia"/>
          <w:bCs w:val="0"/>
          <w:sz w:val="30"/>
          <w:szCs w:val="30"/>
          <w:highlight w:val="none"/>
          <w:u w:val="none"/>
          <w:lang w:val="en-US" w:eastAsia="zh-CN"/>
        </w:rPr>
        <w:t xml:space="preserve">七、政府性基金预算财政拨款收支决算情况说明</w:t>
      </w:r>
      <w:bookmarkEnd w:id="22"/>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天津市西青区启智学校2025年度无政府性基金预算财政拨款收入、支出和结转结余。</w:t>
      </w:r>
    </w:p>
    <w:p>
      <w:pPr>
        <w:pStyle w:val="标题2"/>
        <w:spacing w:before="0" w:after="0" w:line="600" w:lineRule="exact"/>
        <w:ind w:firstLine="600" w:firstLineChars="200"/>
        <w:rPr>
          <w:rFonts w:eastAsia="黑体" w:hint="eastAsia"/>
          <w:b w:val="0"/>
          <w:sz w:val="30"/>
          <w:szCs w:val="30"/>
          <w:highlight w:val="none"/>
        </w:rPr>
      </w:pPr>
      <w:bookmarkStart w:id="23" w:name="_Toc1743"/>
      <w:r>
        <w:rPr>
          <w:rFonts w:ascii="黑体" w:eastAsia="黑体" w:hAnsi="黑体" w:cs="方正仿宋_GB2312" w:hint="eastAsia"/>
          <w:bCs w:val="0"/>
          <w:sz w:val="30"/>
          <w:szCs w:val="30"/>
          <w:highlight w:val="none"/>
          <w:u w:val="none"/>
          <w:lang w:val="en-US" w:eastAsia="zh-CN"/>
        </w:rPr>
        <w:t xml:space="preserve">八、国有资本经营预算财政拨款收支决算情况说明</w:t>
      </w:r>
      <w:bookmarkEnd w:id="23"/>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天津市西青区启智学校2025年度无国有资本经营预算财政拨款收入、支出和结转结余。</w:t>
      </w:r>
    </w:p>
    <w:p>
      <w:pPr>
        <w:pStyle w:val="标题2"/>
        <w:spacing w:before="0" w:after="0" w:line="600" w:lineRule="exact"/>
        <w:ind w:firstLine="600" w:firstLineChars="200"/>
        <w:rPr>
          <w:rFonts w:ascii="黑体" w:eastAsia="黑体" w:hAnsi="黑体"/>
          <w:b w:val="0"/>
          <w:sz w:val="30"/>
          <w:szCs w:val="30"/>
          <w:highlight w:val="none"/>
        </w:rPr>
      </w:pPr>
      <w:bookmarkStart w:id="24" w:name="_Toc26580"/>
      <w:r>
        <w:rPr>
          <w:rFonts w:ascii="黑体" w:eastAsia="黑体" w:hAnsi="黑体" w:cs="方正仿宋_GB2312" w:hint="eastAsia"/>
          <w:bCs w:val="0"/>
          <w:sz w:val="30"/>
          <w:szCs w:val="30"/>
          <w:highlight w:val="none"/>
          <w:u w:val="none"/>
          <w:lang w:val="en-US" w:eastAsia="zh-CN"/>
        </w:rPr>
        <w:t xml:space="preserve">九、财政拨款“三公”经费支出决算情况说明</w:t>
      </w:r>
      <w:bookmarkEnd w:id="24"/>
    </w:p>
    <w:p>
      <w:pPr>
        <w:divId w:val="0"/>
        <w:spacing w:line="600" w:lineRule="exact"/>
        <w:ind w:firstLine="600" w:firstLineChars="200"/>
        <w:rPr>
          <w:rFonts w:ascii="楷体" w:eastAsia="楷体" w:hAnsi="楷体" w:cs="楷体" w:hint="eastAsia"/>
          <w:b/>
          <w:bCs/>
          <w:sz w:val="30"/>
          <w:szCs w:val="30"/>
          <w:highlight w:val="none"/>
          <w:lang w:eastAsia="zh-CN"/>
        </w:rPr>
      </w:pPr>
      <w:r>
        <w:rPr>
          <w:rFonts w:ascii="楷体" w:eastAsia="楷体" w:hAnsi="楷体" w:cs="楷体" w:hint="eastAsia"/>
          <w:b/>
          <w:bCs/>
          <w:sz w:val="30"/>
          <w:szCs w:val="30"/>
          <w:highlight w:val="none"/>
          <w:lang w:eastAsia="zh-CN"/>
        </w:rPr>
        <w:t xml:space="preserve">（一）总体情况</w:t>
      </w:r>
    </w:p>
    <w:p>
      <w:pPr>
        <w:divId w:val="0"/>
        <w:spacing w:line="600" w:lineRule="exact"/>
        <w:ind w:firstLine="600"/>
        <w:rPr>
          <w:rFonts w:eastAsia="仿宋_GB2312" w:hint="default"/>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年财政拨</w:t>
      </w:r>
      <w:r>
        <w:rPr>
          <w:rFonts w:eastAsia="仿宋_GB2312" w:hint="eastAsia"/>
          <w:sz w:val="30"/>
          <w:szCs w:val="30"/>
          <w:highlight w:val="none"/>
          <w:lang w:val="en-US" w:eastAsia="zh-CN"/>
        </w:rPr>
        <w:t xml:space="preserve">款</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三</w:t>
      </w:r>
      <w:r>
        <w:rPr>
          <w:rFonts w:eastAsia="仿宋_GB2312" w:hint="eastAsia"/>
          <w:sz w:val="30"/>
          <w:szCs w:val="30"/>
          <w:highlight w:val="none"/>
          <w:lang w:val="en-US" w:eastAsia="zh-CN"/>
        </w:rPr>
        <w:t xml:space="preserve">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经费预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决算数与预算数持平的主要原因是本年度未用财政拨款列支“三公”经费；</w:t>
      </w:r>
      <w:r>
        <w:rPr>
          <w:rFonts w:eastAsia="仿宋_GB2312" w:hint="eastAsia"/>
          <w:sz w:val="30"/>
          <w:szCs w:val="30"/>
          <w:highlight w:val="none"/>
          <w:lang w:val="en-US" w:eastAsia="zh-CN"/>
        </w:rPr>
        <w:t xml:space="preserve">决算数较上年持平的主要原因是本年度未用财政拨款列支“三公”经费。</w:t>
      </w:r>
    </w:p>
    <w:p>
      <w:pPr>
        <w:divId w:val="0"/>
        <w:spacing w:line="600" w:lineRule="exact"/>
        <w:ind w:firstLine="600" w:firstLineChars="200"/>
        <w:rPr>
          <w:rFonts w:ascii="楷体" w:eastAsia="楷体" w:hAnsi="楷体" w:cs="楷体" w:hint="eastAsia"/>
          <w:b/>
          <w:bCs/>
          <w:sz w:val="30"/>
          <w:szCs w:val="30"/>
          <w:highlight w:val="none"/>
          <w:lang w:eastAsia="zh-CN"/>
        </w:rPr>
      </w:pPr>
      <w:r>
        <w:rPr>
          <w:rFonts w:ascii="楷体" w:eastAsia="楷体" w:hAnsi="楷体" w:cs="楷体" w:hint="eastAsia"/>
          <w:b/>
          <w:bCs/>
          <w:sz w:val="30"/>
          <w:szCs w:val="30"/>
          <w:highlight w:val="none"/>
          <w:lang w:eastAsia="zh-CN"/>
        </w:rPr>
        <w:t xml:space="preserve">（二）具体情况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因公出国（境）费预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决算数与预算数持平的主要原因是本年度未用财政拨款列支因公出国（境）费；</w:t>
      </w:r>
      <w:r>
        <w:rPr>
          <w:rFonts w:eastAsia="仿宋_GB2312" w:hint="eastAsia"/>
          <w:sz w:val="30"/>
          <w:szCs w:val="30"/>
          <w:highlight w:val="none"/>
          <w:lang w:val="en-US" w:eastAsia="zh-CN"/>
        </w:rPr>
        <w:t xml:space="preserve">决算数较上年持平的主要原因是本年度未用财政拨款列支因公出国（境）费。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年本单位组织的出国团</w:t>
      </w:r>
      <w:r>
        <w:rPr>
          <w:rFonts w:eastAsia="仿宋_GB2312" w:hint="eastAsia"/>
          <w:sz w:val="30"/>
          <w:szCs w:val="30"/>
          <w:highlight w:val="none"/>
          <w:lang w:val="en-US" w:eastAsia="zh-CN"/>
        </w:rPr>
        <w:t xml:space="preserve">组</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个，出</w:t>
      </w:r>
      <w:r>
        <w:rPr>
          <w:rFonts w:eastAsia="仿宋_GB2312" w:hint="eastAsia"/>
          <w:sz w:val="30"/>
          <w:szCs w:val="30"/>
          <w:highlight w:val="none"/>
          <w:lang w:val="en-US" w:eastAsia="zh-CN"/>
        </w:rPr>
        <w:t xml:space="preserve">国</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公务用车购置及运行维护费预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决算数与预算数持平的主要原因是本年度未用财政拨款列支公务用车购置及运行维护费；</w:t>
      </w:r>
      <w:r>
        <w:rPr>
          <w:rFonts w:eastAsia="仿宋_GB2312" w:hint="eastAsia"/>
          <w:sz w:val="30"/>
          <w:szCs w:val="30"/>
          <w:highlight w:val="none"/>
          <w:lang w:val="en-US" w:eastAsia="zh-CN"/>
        </w:rPr>
        <w:t xml:space="preserve">决算数较上年持平的主要原因是本年度未用财政拨款列支公务用车购置及运行维护费。</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公务用车运行维护费预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决算数与预算数持平的主要原因是本年度未用财政拨款列支公务用车运行维护费；</w:t>
      </w:r>
      <w:r>
        <w:rPr>
          <w:rFonts w:eastAsia="仿宋_GB2312" w:hint="eastAsia"/>
          <w:sz w:val="30"/>
          <w:szCs w:val="30"/>
          <w:highlight w:val="none"/>
          <w:lang w:val="en-US" w:eastAsia="zh-CN"/>
        </w:rPr>
        <w:t xml:space="preserve">决算数较上年持平的主要原因是本年度未用财政拨款列支公务用车运行维护费。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截</w:t>
      </w:r>
      <w:r>
        <w:rPr>
          <w:rFonts w:eastAsia="仿宋_GB2312" w:hint="eastAsia"/>
          <w:sz w:val="30"/>
          <w:szCs w:val="30"/>
          <w:highlight w:val="none"/>
          <w:lang w:val="en-US" w:eastAsia="zh-CN"/>
        </w:rPr>
        <w:t xml:space="preserve">至</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w:t>
      </w: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月</w:t>
      </w: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日，使用财政拨款开支运行维护费的公务用车保有量</w:t>
      </w:r>
      <w:r>
        <w:rPr>
          <w:rFonts w:eastAsia="仿宋_GB2312" w:hint="eastAsia"/>
          <w:sz w:val="30"/>
          <w:szCs w:val="30"/>
          <w:highlight w:val="none"/>
          <w:lang w:val="en-US" w:eastAsia="zh-CN"/>
        </w:rPr>
        <w:t xml:space="preserve">为</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辆</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公务用车购置费预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决算数与预算数持平的主要原因是本年度未用财政拨款列支公务用车购置费；</w:t>
      </w:r>
      <w:r>
        <w:rPr>
          <w:rFonts w:eastAsia="仿宋_GB2312" w:hint="eastAsia"/>
          <w:sz w:val="30"/>
          <w:szCs w:val="30"/>
          <w:highlight w:val="none"/>
          <w:lang w:val="en-US" w:eastAsia="zh-CN"/>
        </w:rPr>
        <w:t xml:space="preserve">决算数较上年持平的主要原因是本年度未用财政拨款列支公务用车购置费。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年购置公务用</w:t>
      </w:r>
      <w:r>
        <w:rPr>
          <w:rFonts w:eastAsia="仿宋_GB2312" w:hint="eastAsia"/>
          <w:sz w:val="30"/>
          <w:szCs w:val="30"/>
          <w:highlight w:val="none"/>
          <w:lang w:val="en-US" w:eastAsia="zh-CN"/>
        </w:rPr>
        <w:t xml:space="preserve">车</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辆。</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公务接待费预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决算数与预算数持平的主要原因是本年度未用财政拨款列支公务接待费；</w:t>
      </w:r>
      <w:r>
        <w:rPr>
          <w:rFonts w:eastAsia="仿宋_GB2312" w:hint="eastAsia"/>
          <w:sz w:val="30"/>
          <w:szCs w:val="30"/>
          <w:highlight w:val="none"/>
          <w:lang w:val="en-US" w:eastAsia="zh-CN"/>
        </w:rPr>
        <w:t xml:space="preserve">决算数较上年持平的主要原因是本年度未用财政拨款列支公务接待费。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年本单位国内公务接</w:t>
      </w:r>
      <w:r>
        <w:rPr>
          <w:rFonts w:eastAsia="仿宋_GB2312" w:hint="eastAsia"/>
          <w:sz w:val="30"/>
          <w:szCs w:val="30"/>
          <w:highlight w:val="none"/>
          <w:lang w:val="en-US" w:eastAsia="zh-CN"/>
        </w:rPr>
        <w:t xml:space="preserve">待</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批次</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人次；其中，外事接</w:t>
      </w:r>
      <w:r>
        <w:rPr>
          <w:rFonts w:eastAsia="仿宋_GB2312" w:hint="eastAsia"/>
          <w:sz w:val="30"/>
          <w:szCs w:val="30"/>
          <w:highlight w:val="none"/>
          <w:lang w:val="en-US" w:eastAsia="zh-CN"/>
        </w:rPr>
        <w:t xml:space="preserve">待</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批次</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w:t>
      </w:r>
    </w:p>
    <w:p>
      <w:pPr>
        <w:pStyle w:val="标题2"/>
        <w:spacing w:before="0" w:after="0" w:line="600" w:lineRule="exact"/>
        <w:ind w:firstLine="600" w:firstLineChars="200"/>
        <w:rPr>
          <w:rFonts w:ascii="黑体" w:eastAsia="黑体" w:hAnsi="黑体"/>
          <w:b w:val="0"/>
          <w:sz w:val="30"/>
          <w:szCs w:val="30"/>
          <w:highlight w:val="none"/>
        </w:rPr>
      </w:pPr>
      <w:bookmarkStart w:id="25" w:name="_Toc23303"/>
      <w:r>
        <w:rPr>
          <w:rFonts w:ascii="黑体" w:eastAsia="黑体" w:hAnsi="黑体" w:cs="方正仿宋_GB2312" w:hint="eastAsia"/>
          <w:bCs w:val="0"/>
          <w:sz w:val="30"/>
          <w:szCs w:val="30"/>
          <w:highlight w:val="none"/>
          <w:u w:val="none"/>
          <w:lang w:val="en-US" w:eastAsia="zh-CN"/>
        </w:rPr>
        <w:t xml:space="preserve">十、机关运行经费支出情况说明</w:t>
      </w:r>
      <w:bookmarkEnd w:id="25"/>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天津市西青区启智学校2025年度无机关运行经费。</w:t>
      </w:r>
    </w:p>
    <w:p>
      <w:pPr>
        <w:pStyle w:val="标题2"/>
        <w:spacing w:before="0" w:after="0" w:line="600" w:lineRule="exact"/>
        <w:ind w:firstLine="600" w:firstLineChars="200"/>
        <w:rPr>
          <w:rFonts w:ascii="黑体" w:eastAsia="黑体" w:hAnsi="黑体" w:cs="方正仿宋_GB2312" w:hint="eastAsia"/>
          <w:bCs w:val="0"/>
          <w:sz w:val="30"/>
          <w:szCs w:val="30"/>
          <w:highlight w:val="none"/>
          <w:u w:val="none"/>
          <w:lang w:val="en-US" w:eastAsia="zh-CN"/>
        </w:rPr>
      </w:pPr>
      <w:bookmarkStart w:id="26" w:name="_Toc2013"/>
      <w:r>
        <w:rPr>
          <w:rFonts w:ascii="黑体" w:eastAsia="黑体" w:hAnsi="黑体" w:cs="方正仿宋_GB2312" w:hint="eastAsia"/>
          <w:bCs w:val="0"/>
          <w:sz w:val="30"/>
          <w:szCs w:val="30"/>
          <w:highlight w:val="none"/>
          <w:u w:val="none"/>
          <w:lang w:val="en-US" w:eastAsia="zh-CN"/>
        </w:rPr>
        <w:t xml:space="preserve">十一、政府采购支出情况说明</w:t>
      </w:r>
      <w:bookmarkEnd w:id="26"/>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启智学校2025年政府采购支出总额1,294,540.24元，其中：政府采购货物支出13,534.00元、政府采购工程支出0.00元、政府采购服务支出1,281,006.24元。授予中小企业合同金额1,294,540.24元，占政府采购支出总额的100.00%，其中：授予小微企业合同金额1,294,540.24元，占政府采购支出总额的100.00%；货物采购授予中小企业合同金额占货物支出金额的100.00%，工程采购授予中小企业合同金额占工程支出金额的0.00%，服务采购授予中小企业合同金额占服务支出金额的100.00%。</w:t>
      </w:r>
    </w:p>
    <w:p>
      <w:pPr>
        <w:pStyle w:val="标题2"/>
        <w:spacing w:before="0" w:after="0" w:line="600" w:lineRule="exact"/>
        <w:ind w:firstLine="600" w:firstLineChars="200"/>
        <w:rPr>
          <w:rFonts w:ascii="黑体" w:eastAsia="黑体" w:hAnsi="黑体" w:hint="eastAsia"/>
          <w:b w:val="0"/>
          <w:sz w:val="30"/>
          <w:szCs w:val="30"/>
          <w:highlight w:val="none"/>
        </w:rPr>
      </w:pPr>
      <w:bookmarkStart w:id="27" w:name="_Toc21119"/>
      <w:r>
        <w:rPr>
          <w:rFonts w:ascii="黑体" w:eastAsia="黑体" w:hAnsi="黑体" w:cs="方正仿宋_GB2312" w:hint="eastAsia"/>
          <w:bCs w:val="0"/>
          <w:sz w:val="30"/>
          <w:szCs w:val="30"/>
          <w:highlight w:val="none"/>
          <w:u w:val="none"/>
          <w:lang w:val="en-US" w:eastAsia="zh-CN"/>
        </w:rPr>
        <w:t xml:space="preserve">十二、国有资产占有使用情况说明</w:t>
      </w:r>
      <w:bookmarkEnd w:id="27"/>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天津市西青区启智学校2025年度无国有资产占有使用情况。</w:t>
      </w:r>
    </w:p>
    <w:p>
      <w:pPr>
        <w:pStyle w:val="标题2"/>
        <w:spacing w:before="0" w:after="0" w:line="600" w:lineRule="exact"/>
        <w:ind w:firstLine="600" w:firstLineChars="200"/>
        <w:rPr>
          <w:rFonts w:ascii="黑体" w:eastAsia="黑体" w:hAnsi="黑体" w:cs="方正仿宋_GB2312" w:hint="eastAsia"/>
          <w:b/>
          <w:bCs w:val="0"/>
          <w:sz w:val="30"/>
          <w:szCs w:val="30"/>
          <w:highlight w:val="none"/>
          <w:u w:val="none"/>
          <w:lang w:val="en-US" w:eastAsia="zh-CN"/>
        </w:rPr>
      </w:pPr>
      <w:bookmarkStart w:id="28" w:name="_Toc4570"/>
      <w:r>
        <w:rPr>
          <w:rFonts w:ascii="黑体" w:eastAsia="黑体" w:hAnsi="黑体" w:cs="方正仿宋_GB2312" w:hint="eastAsia"/>
          <w:b/>
          <w:bCs w:val="0"/>
          <w:sz w:val="30"/>
          <w:szCs w:val="30"/>
          <w:highlight w:val="none"/>
          <w:u w:val="none"/>
          <w:lang w:val="en-US" w:eastAsia="zh-CN"/>
        </w:rPr>
        <w:t xml:space="preserve">十三、预算绩效情况说明</w:t>
      </w:r>
      <w:bookmarkEnd w:id="28"/>
    </w:p>
    <w:p>
      <w:pPr>
        <w:divId w:val="0"/>
        <w:spacing w:line="600" w:lineRule="exact"/>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    根据预算绩效管理要求，天津市西青区启智学校已对4个2025年度项目开展绩效自评，涉及金额611,306.74元，自评结果已随部门决算一并公开。</w:t>
      </w:r>
    </w:p>
    <w:p>
      <w:pPr>
        <w:pStyle w:val="标题2"/>
        <w:spacing w:before="0" w:after="0" w:line="600" w:lineRule="exact"/>
        <w:ind w:firstLine="600" w:firstLineChars="200"/>
        <w:rPr>
          <w:rFonts w:ascii="Times New Roman" w:eastAsia="黑体" w:hAnsi="Times New Roman"/>
          <w:b w:val="0"/>
          <w:sz w:val="30"/>
          <w:szCs w:val="30"/>
          <w:highlight w:val="none"/>
        </w:rPr>
      </w:pPr>
      <w:bookmarkStart w:id="29" w:name="_Toc32245"/>
      <w:r>
        <w:rPr>
          <w:rFonts w:ascii="黑体" w:eastAsia="黑体" w:hAnsi="黑体" w:cs="方正仿宋_GB2312" w:hint="eastAsia"/>
          <w:bCs w:val="0"/>
          <w:sz w:val="30"/>
          <w:szCs w:val="30"/>
          <w:highlight w:val="none"/>
          <w:u w:val="none"/>
          <w:lang w:val="en-US" w:eastAsia="zh-CN"/>
        </w:rPr>
        <w:t xml:space="preserve">十四、教育、医疗卫生、社会保障和就业、住房保障、涉农补贴等民生支出情况说明</w:t>
      </w:r>
      <w:bookmarkEnd w:id="29"/>
    </w:p>
    <w:p>
      <w:pPr>
        <w:divId w:val="0"/>
        <w:spacing w:line="600" w:lineRule="exact"/>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    天津市西青区启智学校不属于乡、镇、街级单位，不涉及公开2025年度教育、医疗卫生、社会保障和就业、住房保障、涉农补贴等民生支出情况。</w:t>
      </w:r>
    </w:p>
    <w:p>
      <w:pPr>
        <w:pStyle w:val="标题1"/>
        <w:spacing w:before="0" w:after="0" w:line="600" w:lineRule="exact"/>
        <w:jc w:val="center"/>
        <w:rPr>
          <w:rFonts w:ascii="方正小标宋简体" w:eastAsia="方正小标宋简体" w:hAnsi="方正小标宋简体" w:cs="方正小标宋简体" w:hint="eastAsia"/>
          <w:b w:val="0"/>
          <w:sz w:val="48"/>
          <w:szCs w:val="48"/>
          <w:highlight w:val="none"/>
        </w:rPr>
      </w:pPr>
      <w:r>
        <w:rPr>
          <w:rFonts w:ascii="方正小标宋简体" w:eastAsia="方正小标宋简体" w:hAnsi="方正小标宋简体" w:cs="方正小标宋简体" w:hint="eastAsia"/>
          <w:b w:val="0"/>
          <w:sz w:val="48"/>
          <w:szCs w:val="48"/>
          <w:highlight w:val="none"/>
        </w:rPr>
        <w:br w:type="page"/>
      </w:r>
    </w:p>
    <w:p>
      <w:pPr>
        <w:pStyle w:val="标题1"/>
        <w:spacing w:before="0" w:after="0" w:line="600" w:lineRule="exact"/>
        <w:jc w:val="center"/>
        <w:rPr>
          <w:rFonts w:ascii="方正小标宋简体" w:eastAsia="方正小标宋简体" w:hAnsi="方正小标宋简体" w:cs="方正小标宋简体"/>
          <w:b w:val="0"/>
          <w:sz w:val="44"/>
          <w:szCs w:val="44"/>
          <w:highlight w:val="none"/>
        </w:rPr>
      </w:pPr>
      <w:bookmarkStart w:id="30" w:name="_Toc25423"/>
      <w:r>
        <w:rPr>
          <w:rFonts w:ascii="方正小标宋简体" w:eastAsia="方正小标宋简体" w:hAnsi="方正小标宋简体" w:cs="方正小标宋简体" w:hint="eastAsia"/>
          <w:b w:val="0"/>
          <w:lang w:val="en-US" w:eastAsia="zh-CN"/>
        </w:rPr>
        <w:t xml:space="preserve">第四部分  名词解释</w:t>
      </w:r>
      <w:bookmarkEnd w:id="30"/>
    </w:p>
    <w:p>
      <w:pPr>
        <w:pStyle w:val="标题1"/>
        <w:spacing w:before="0" w:after="0" w:line="600" w:lineRule="exact"/>
        <w:jc w:val="center"/>
        <w:rPr>
          <w:rFonts w:ascii="方正小标宋简体" w:eastAsia="方正小标宋简体" w:hAnsi="方正小标宋简体" w:cs="方正小标宋简体" w:hint="eastAsia"/>
          <w:b w:val="0"/>
          <w:sz w:val="44"/>
          <w:szCs w:val="44"/>
          <w:highlight w:val="none"/>
        </w:rPr>
      </w:pP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部门决算。是指各部门依据国家有关法律法规规定及其履行职能情况编制，反映部门所有预算收支和结余执行结果及绩效等情况的综合性年度报告，是改进部门预算执行以及编制后续年度部门预算的参考和依据。</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机关运行经费。反映行政单位（含参照公务员管理事业单位）财政拨款基本支出中的公用经费支出，主要为保障行政单位（含参照公务员管理事业单位）运行用于购买货物和服务的各项资金，包括办公费、印刷费、水费、电费、邮电费、取暖费、物业管理费、差旅费、会议费、公务用车运行维护费以及其他费用。</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三</w:t>
      </w:r>
      <w:r>
        <w:rPr>
          <w:rFonts w:eastAsia="仿宋_GB2312" w:hint="eastAsia"/>
          <w:sz w:val="30"/>
          <w:szCs w:val="30"/>
          <w:highlight w:val="none"/>
          <w:lang w:val="en-US" w:eastAsia="zh-CN"/>
        </w:rPr>
        <w:t xml:space="preserve">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经费。是指各部门用财政拨款安排的因公出国（境）费、公务用车购置及运行维护费和公务接待费。其中，因公出国（境）费反映单位公务出国（境）的国际旅费、国外城市间交通费、住宿费、伙食费、培训费、公杂费等支出；公务用车购置及运行维护费反映单位公务用车车辆购置支出（含车辆购置税、牌照费）及燃料费、新能源汽车充电费、维修费、过桥过路费、保险费、安全奖励费用等支出；公务接待费反映单位按规定开支的各类公务接待（含外宾接待）支出</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 </w:t>
      </w:r>
    </w:p>
    <w:sectPr>
      <w:type w:val="nextPage"/>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itlePg w:val="0"/>
      <w:textDirection w:val="lrTb"/>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auto"/>
    <w:pitch w:val="default"/>
    <w:sig w:usb0="E0002EFF" w:usb1="C000785B" w:usb2="00000009" w:usb3="00000000" w:csb0="400001FF" w:csb1="FFFF0000"/>
  </w:font>
  <w:font w:name="宋体">
    <w:panose1 w:val="02010600030101010101"/>
    <w:charset w:val="FFFFFF86"/>
    <w:family w:val="auto"/>
    <w:pitch w:val="default"/>
    <w:sig w:usb0="00000203" w:usb1="288F0000" w:usb2="00000006" w:usb3="00000000" w:csb0="00040001" w:csb1="00000000"/>
    <w:embedRegular r:id="rId1" w:subsetted="1" w:fontKey="{B9C1F028-9905-4853-B8D6-8980BA11E594}"/>
    <w:embedBold r:id="rId2" w:subsetted="1" w:fontKey="{3FB4F929-9A5A-43E2-B5CF-A81D8F54E27E}"/>
  </w:font>
  <w:font w:name="Cambria">
    <w:panose1 w:val="02040503050406030204"/>
    <w:charset w:val="00"/>
    <w:family w:val="roman"/>
    <w:pitch w:val="default"/>
    <w:sig w:usb0="E00006FF" w:usb1="420024FF" w:usb2="02000000" w:usb3="00000000" w:csb0="2000019F" w:csb1="00000000"/>
    <w:embedRegular r:id="rId3" w:fontKey="{FA9F0273-6E9A-4A97-9A6F-6E96188CDCC5}"/>
  </w:font>
  <w:font w:name="Calibri">
    <w:panose1 w:val="020F0502020204030204"/>
    <w:charset w:val="00"/>
    <w:family w:val="swiss"/>
    <w:pitch w:val="default"/>
    <w:sig w:usb0="E4002EFF" w:usb1="C200247B" w:usb2="00000009" w:usb3="00000000" w:csb0="200001FF" w:csb1="00000000"/>
    <w:embedRegular r:id="rId4" w:fontKey="{9212E8E0-D640-4C10-8091-778217909AAF}"/>
  </w:font>
  <w:font w:name="黑体">
    <w:panose1 w:val="02010609060101010101"/>
    <w:charset w:val="FFFFFF86"/>
    <w:family w:val="auto"/>
    <w:pitch w:val="default"/>
    <w:sig w:usb0="800002BF" w:usb1="38CF7CFA" w:usb2="00000016" w:usb3="00000000" w:csb0="00040001" w:csb1="00000000"/>
    <w:embedRegular r:id="rId5" w:subsetted="1" w:fontKey="{33330A57-2C59-407D-9E06-F3551A5FF361}"/>
    <w:embedBold r:id="rId6" w:subsetted="1" w:fontKey="{4C28E1DC-B80A-4A3C-8690-8DDA6FA1D5D2}"/>
  </w:font>
  <w:font w:name="方正小标宋简体">
    <w:altName w:val="黑体"/>
    <w:panose1 w:val="02000000000000000000"/>
    <w:charset w:val="FFFFFF86"/>
    <w:family w:val="auto"/>
    <w:pitch w:val="default"/>
    <w:sig w:usb0="00000001" w:usb1="08000000" w:usb2="00000000" w:usb3="00000000" w:csb0="00040000" w:csb1="00000000"/>
    <w:embedRegular r:id="rId7" w:fontKey="{9E457B0B-A084-49DF-8D15-D0D83FB29F6B}"/>
    <w:embedBold r:id="rId8" w:fontKey="{C59B5D3F-476B-4893-842F-A61942F57786}"/>
  </w:font>
  <w:font w:name="仿宋">
    <w:panose1 w:val="02010609060101010101"/>
    <w:charset w:val="FFFFFF86"/>
    <w:family w:val="auto"/>
    <w:pitch w:val="default"/>
    <w:sig w:usb0="800002BF" w:usb1="38CF7CFA" w:usb2="00000016" w:usb3="00000000" w:csb0="00040001" w:csb1="00000000"/>
    <w:embedRegular r:id="rId9" w:subsetted="1" w:fontKey="{172B62D8-6D8E-45D5-B7C7-A7B848879AB4}"/>
    <w:embedBold r:id="rId10" w:subsetted="1" w:fontKey="{F7E1563E-6158-4B7A-8869-CD88FF3313BD}"/>
  </w:font>
  <w:font w:name="方正仿宋_GB2312">
    <w:altName w:val="仿宋"/>
    <w:panose1 w:val="02000000000000000000"/>
    <w:charset w:val="FFFFFF86"/>
    <w:family w:val="auto"/>
    <w:pitch w:val="default"/>
    <w:sig w:usb0="A00002BF" w:usb1="184F6CFA" w:usb2="00000012" w:usb3="00000000" w:csb0="00040001" w:csb1="00000000"/>
    <w:embedRegular r:id="rId11" w:fontKey="{318D2CC7-59B6-4247-82FA-F04771D88D80}"/>
  </w:font>
  <w:font w:name="仿宋_GB2312">
    <w:altName w:val="仿宋"/>
    <w:panose1 w:val="02010609030101010101"/>
    <w:charset w:val="FFFFFF86"/>
    <w:family w:val="auto"/>
    <w:pitch w:val="default"/>
    <w:sig w:usb0="00000001" w:usb1="080E0000" w:usb2="00000000" w:usb3="00000000" w:csb0="00040000" w:csb1="00000000"/>
    <w:embedRegular r:id="rId12" w:fontKey="{333A5CF2-9346-4AD6-909A-743F19711456}"/>
  </w:font>
  <w:font w:name="方正楷体_GB2312">
    <w:altName w:val="宋体"/>
    <w:panose1 w:val="02000000000000000000"/>
    <w:charset w:val="FFFFFF86"/>
    <w:family w:val="auto"/>
    <w:pitch w:val="default"/>
    <w:sig w:usb0="A00002BF" w:usb1="184F6CFA" w:usb2="00000012" w:usb3="00000000" w:csb0="00040001" w:csb1="00000000"/>
    <w:embedRegular r:id="rId13" w:fontKey="{48CA4FB3-215F-4D01-9B8C-F80340699DBE}"/>
  </w:font>
  <w:font w:name="等线">
    <w:panose1 w:val="02010600030101010101"/>
    <w:charset w:val="FFFFFF86"/>
    <w:family w:val="auto"/>
    <w:pitch w:val="default"/>
    <w:sig w:usb0="A00002BF" w:usb1="38CF7CFA" w:usb2="00000016" w:usb3="00000000" w:csb0="0004000F" w:csb1="00000000"/>
    <w:embedRegular r:id="rId14" w:subsetted="1" w:fontKey="{8B237666-17B6-4C71-8C2E-3AD5640E326F}"/>
  </w:font>
  <w:font w:name="楷体">
    <w:panose1 w:val="02010609060101010101"/>
    <w:charset w:val="FFFFFF86"/>
    <w:family w:val="decorative"/>
    <w:pitch w:val="default"/>
    <w:sig w:usb0="800002BF" w:usb1="38CF7CFA" w:usb2="00000016" w:usb3="00000000" w:csb0="00040001" w:csb1="00000000"/>
    <w:embedRegular r:id="rId15" w:subsetted="1" w:fontKey="{45AE83AC-D771-4DA2-BC51-EACCC7097A3C}"/>
    <w:embedBold r:id="rId16" w:subsetted="1" w:fontKey="{666089FE-04F9-432F-A9D6-B92EAB2A143F}"/>
  </w:font>
  <w:font w:name="Arial">
    <w:charset w:val="00"/>
    <w:family w:val="auto"/>
    <w:pitch w:val="default"/>
  </w:font>
  <w:font w:name="方正仿宋">
    <w:charset w:val="01"/>
    <w:family w:val="auto"/>
    <w:pitch w:val="default"/>
  </w:font>
  <w:font w:name="方正楷体">
    <w:charset w:val="01"/>
    <w:family w:val="auto"/>
    <w:pitch w:val="default"/>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6" o:spid="_x0000_s2049" type="#_x0000_t202" style="width:2in;height:2in;margin-top:0;margin-left:0;mso-position-horizontal:center;mso-position-horizontal-relative:margin;mso-wrap-style:none;position:absolute;v-text-anchor:top;z-index:251658240"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3</w:t>
                </w:r>
                <w:r>
                  <w:fldChar w:fldCharType="end"/>
                </w:r>
              </w:p>
            </w:txbxContent>
          </v:textbox>
          <w10:wrap anchorx="margin"/>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7" o:spid="_x0000_s2050" type="#_x0000_t202" style="width:2in;height:2in;margin-top:0;margin-left:0;mso-position-horizontal:center;mso-position-horizontal-relative:margin;mso-wrap-style:none;position:absolute;v-text-anchor:top;z-index:251659264"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5</w:t>
                </w:r>
                <w:r>
                  <w:fldChar w:fldCharType="end"/>
                </w:r>
              </w:p>
            </w:txbxContent>
          </v:textbox>
          <w10:wrap anchorx="margin"/>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8" o:spid="_x0000_s2051" type="#_x0000_t202" style="width:2in;height:2in;margin-top:0;margin-left:0;mso-position-horizontal:center;mso-position-horizontal-relative:margin;mso-wrap-style:none;position:absolute;v-text-anchor:top;z-index:251660288"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25</w:t>
                </w:r>
                <w:r>
                  <w:fldChar w:fldCharType="end"/>
                </w:r>
              </w:p>
            </w:txbxContent>
          </v:textbox>
          <w10:wrap anchorx="margin"/>
        </v:shape>
      </w:pict>
    </w:r>
  </w:p>
</w:ft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TrueTypeFonts/>
  <w:bordersDoNotSurroundFooter w:val="0"/>
  <w:bordersDoNotSurroundHeader w:val="0"/>
  <w:stylePaneFormatFilter w:val="3F01"/>
  <w:doNotTrackMoves/>
  <w:defaultTabStop w:val="420.0"/>
  <w:drawingGridVerticalSpacing w:val="156"/>
  <w:noPunctuationKerning/>
  <w:characterSpacingControl w:val="compressPunctuation"/>
  <w:noLineBreaksAfter w:lang="en-US" w:val="([{·‘“〈《「『【〔〖（．［｛￡￥"/>
  <w:noLineBreaksBefore w:lang="en-US" w:val="!),.:;?]}¨·ˇˉ―‖’”…∶、。〃々〉》」』】〕〗！＂＇），．：；？］｀｜｝～￠"/>
  <w:endnotePr>
    <w:numFmt w:val="decimal"/>
  </w:endnotePr>
  <w:compat>
    <w:spaceForUL/>
    <w:balanceSingleByteDoubleByteWidth/>
    <w:doNotLeaveBackslashAlon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000000"/>
  </w:rsids>
  <w:docVars>
    <w:docVar w:name="commondata" w:val="eyJoZGlkIjoiOTM0ZDdjZmNhMDU3OGRjODI0Y2FhODMxNDQzMzM1NjMifQ=="/>
  </w:docVars>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semiHidden="0"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qFormat="1"/>
    <w:lsdException w:name="toc 2" w:semiHidden="0" w:uiPriority="39" w:qFormat="1"/>
    <w:lsdException w:name="toc 3" w:semiHidden="0"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unhideWhenUsed="0" w:qFormat="1"/>
    <w:lsdException w:name="header" w:semiHidden="0" w:uiPriority="0"/>
    <w:lsdException w:name="footer" w:semiHidden="0" w:uiPriority="0" w:qFormat="1"/>
    <w:lsdException w:name="caption" w:uiPriority="35" w:qFormat="1"/>
    <w:lsdException w:name="Title" w:semiHidden="0" w:uiPriority="10" w:unhideWhenUsed="0" w:qFormat="1"/>
    <w:lsdException w:name="Default Paragraph Font" w:semiHidden="0" w:uiPriority="0"/>
    <w:lsdException w:name="Body Text Indent" w:semiHidden="0" w:qFormat="1"/>
    <w:lsdException w:name="Subtitle" w:semiHidden="0" w:uiPriority="11" w:unhideWhenUsed="0" w:qFormat="1"/>
    <w:lsdException w:name="Body Text First Indent 2" w:semiHidden="0" w:qFormat="1"/>
    <w:lsdException w:name="Hyperlink" w:semiHidden="0"/>
    <w:lsdException w:name="Strong" w:semiHidden="0" w:uiPriority="22" w:unhideWhenUsed="0" w:qFormat="1"/>
    <w:lsdException w:name="Emphasis" w:semiHidden="0" w:uiPriority="20" w:unhideWhenUsed="0" w:qFormat="1"/>
    <w:lsdException w:name="Normal (Web)" w:semiHidden="0" w:qFormat="1"/>
    <w:lsdException w:name="Normal Table" w:semiHidden="0"/>
    <w:lsdException w:name="Balloon Text" w:semiHidden="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divId w:val="0"/>
      <w:widowControl w:val="0"/>
      <w:adjustRightInd w:val="0"/>
      <w:spacing w:line="360" w:lineRule="atLeast"/>
      <w:textAlignment w:val="baseline"/>
    </w:pPr>
    <w:rPr>
      <w:rFonts w:ascii="Times New Roman" w:eastAsia="宋体" w:hAnsi="Times New Roman" w:cs="Times New Roman"/>
      <w:sz w:val="24"/>
      <w:lang w:val="en-US" w:eastAsia="zh-CN" w:bidi="ar-SA"/>
    </w:rPr>
  </w:style>
  <w:style w:type="paragraph" w:styleId="标题1">
    <w:name w:val="标题 1"/>
    <w:basedOn w:val="Normal"/>
    <w:next w:val="Normal"/>
    <w:link w:val="标题1Char"/>
    <w:uiPriority w:val="9"/>
    <w:qFormat/>
    <w:pPr>
      <w:keepNext/>
      <w:keepLines/>
      <w:spacing w:before="340" w:after="330" w:line="578" w:lineRule="atLeast"/>
      <w:outlineLvl w:val="0"/>
    </w:pPr>
    <w:rPr>
      <w:b/>
      <w:bCs/>
      <w:kern w:val="44.0"/>
      <w:sz w:val="44"/>
      <w:szCs w:val="44"/>
    </w:rPr>
  </w:style>
  <w:style w:type="paragraph" w:styleId="标题2">
    <w:name w:val="标题 2"/>
    <w:basedOn w:val="Normal"/>
    <w:next w:val="Normal"/>
    <w:link w:val="标题2Char"/>
    <w:uiPriority w:val="9"/>
    <w:unhideWhenUsed/>
    <w:qFormat/>
    <w:pPr>
      <w:keepNext/>
      <w:keepLines/>
      <w:spacing w:before="260" w:after="260" w:line="416" w:lineRule="atLeast"/>
      <w:outlineLvl w:val="1"/>
    </w:pPr>
    <w:rPr>
      <w:rFonts w:ascii="Cambria" w:eastAsia="宋体" w:hAnsi="Cambria" w:cs="Times New Roman"/>
      <w:b/>
      <w:bCs/>
      <w:sz w:val="32"/>
      <w:szCs w:val="32"/>
    </w:rPr>
  </w:style>
  <w:style w:type="paragraph" w:styleId="标题3">
    <w:name w:val="标题 3"/>
    <w:basedOn w:val="Normal"/>
    <w:next w:val="Normal"/>
    <w:link w:val="标题3Char"/>
    <w:uiPriority w:val="9"/>
    <w:unhideWhenUsed/>
    <w:qFormat/>
    <w:pPr>
      <w:keepNext/>
      <w:keepLines/>
      <w:spacing w:before="260" w:after="260" w:line="416" w:lineRule="atLeast"/>
      <w:outlineLvl w:val="2"/>
    </w:pPr>
    <w:rPr>
      <w:b/>
      <w:bCs/>
      <w:sz w:val="32"/>
      <w:szCs w:val="32"/>
    </w:rPr>
  </w:style>
  <w:style w:type="character" w:default="1" w:styleId="DefaultParagraphFont">
    <w:name w:val="Default Paragraph Font"/>
    <w:unhideWhenUsed/>
  </w:style>
  <w:style w:type="table" w:styleId="普通表格">
    <w:name w:val="普通表格"/>
    <w:uiPriority w:val="99"/>
    <w:unhideWhenUsed/>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character" w:styleId="标题1Char">
    <w:name w:val="标题 1 Char"/>
    <w:link w:val="标题1"/>
    <w:uiPriority w:val="9"/>
    <w:rPr>
      <w:b/>
      <w:bCs/>
      <w:kern w:val="44.0"/>
      <w:sz w:val="44"/>
      <w:szCs w:val="44"/>
    </w:rPr>
  </w:style>
  <w:style w:type="character" w:styleId="标题2Char">
    <w:name w:val="标题 2 Char"/>
    <w:link w:val="标题2"/>
    <w:uiPriority w:val="9"/>
    <w:semiHidden/>
    <w:rPr>
      <w:rFonts w:ascii="Cambria" w:eastAsia="宋体" w:hAnsi="Cambria" w:cs="Times New Roman"/>
      <w:b/>
      <w:bCs/>
      <w:sz w:val="32"/>
      <w:szCs w:val="32"/>
    </w:rPr>
  </w:style>
  <w:style w:type="character" w:styleId="标题3Char">
    <w:name w:val="标题 3 Char"/>
    <w:link w:val="标题3"/>
    <w:uiPriority w:val="9"/>
    <w:semiHidden/>
    <w:rPr>
      <w:b/>
      <w:bCs/>
      <w:sz w:val="32"/>
      <w:szCs w:val="32"/>
    </w:rPr>
  </w:style>
  <w:style w:type="paragraph" w:styleId="正文文本缩进">
    <w:name w:val="正文文本缩进"/>
    <w:basedOn w:val="Normal"/>
    <w:next w:val="正文首行缩进2"/>
    <w:uiPriority w:val="99"/>
    <w:unhideWhenUsed/>
    <w:qFormat/>
    <w:pPr>
      <w:spacing w:after="120"/>
      <w:ind w:left="420" w:leftChars="200"/>
      <w:jc w:val="left"/>
    </w:pPr>
    <w:rPr>
      <w:rFonts w:ascii="宋体" w:hAnsi="宋体" w:cs="宋体"/>
      <w:kern w:val="0.0"/>
      <w:sz w:val="24"/>
      <w:lang w:val="en-US" w:eastAsia="zh-CN"/>
    </w:rPr>
  </w:style>
  <w:style w:type="paragraph" w:styleId="正文首行缩进2">
    <w:name w:val="正文首行缩进 2"/>
    <w:basedOn w:val="正文文本缩进"/>
    <w:next w:val="Normal"/>
    <w:uiPriority w:val="99"/>
    <w:unhideWhenUsed/>
    <w:qFormat/>
    <w:pPr>
      <w:ind w:left="420" w:firstLine="420" w:firstLineChars="200"/>
      <w:jc w:val="left"/>
    </w:pPr>
    <w:rPr>
      <w:lang w:val="en-US" w:eastAsia="zh-CN"/>
    </w:rPr>
  </w:style>
  <w:style w:type="paragraph" w:styleId="目录3">
    <w:name w:val="目录 3"/>
    <w:basedOn w:val="Normal"/>
    <w:next w:val="Normal"/>
    <w:uiPriority w:val="39"/>
    <w:unhideWhenUsed/>
    <w:qFormat/>
    <w:pPr>
      <w:widowControl/>
      <w:adjustRightInd/>
      <w:spacing w:after="100" w:line="276" w:lineRule="auto"/>
      <w:ind w:left="440"/>
      <w:textAlignment w:val="auto"/>
    </w:pPr>
    <w:rPr>
      <w:rFonts w:ascii="Calibri" w:eastAsia="宋体" w:hAnsi="Calibri" w:cs="Times New Roman"/>
      <w:sz w:val="22"/>
      <w:szCs w:val="22"/>
    </w:rPr>
  </w:style>
  <w:style w:type="paragraph" w:styleId="批注框文本">
    <w:name w:val="批注框文本"/>
    <w:basedOn w:val="Normal"/>
    <w:link w:val="批注框文本Char"/>
    <w:uiPriority w:val="99"/>
    <w:unhideWhenUsed/>
    <w:pPr>
      <w:spacing w:line="240" w:lineRule="auto"/>
    </w:pPr>
    <w:rPr>
      <w:sz w:val="18"/>
      <w:szCs w:val="18"/>
    </w:rPr>
  </w:style>
  <w:style w:type="character" w:styleId="批注框文本Char">
    <w:name w:val="批注框文本 Char"/>
    <w:link w:val="批注框文本"/>
    <w:uiPriority w:val="99"/>
    <w:semiHidden/>
    <w:rPr>
      <w:sz w:val="18"/>
      <w:szCs w:val="18"/>
    </w:rPr>
  </w:style>
  <w:style w:type="paragraph" w:styleId="页脚">
    <w:name w:val="页脚"/>
    <w:basedOn w:val="Normal"/>
    <w:link w:val="页脚Char"/>
    <w:unhideWhenUsed/>
    <w:qFormat/>
    <w:pPr>
      <w:tabs>
        <w:tab w:val="center" w:pos="4153"/>
        <w:tab w:val="right" w:pos="8306"/>
      </w:tabs>
      <w:snapToGrid w:val="0"/>
      <w:spacing w:line="240" w:lineRule="atLeast"/>
    </w:pPr>
    <w:rPr>
      <w:sz w:val="18"/>
      <w:szCs w:val="18"/>
    </w:rPr>
  </w:style>
  <w:style w:type="character" w:styleId="页脚Char">
    <w:name w:val="页脚 Char"/>
    <w:link w:val="页脚"/>
    <w:semiHidden/>
    <w:rPr>
      <w:sz w:val="18"/>
      <w:szCs w:val="18"/>
    </w:rPr>
  </w:style>
  <w:style w:type="paragraph" w:styleId="页眉">
    <w:name w:val="页眉"/>
    <w:basedOn w:val="Normal"/>
    <w:link w:val="页眉Char"/>
    <w:unhideWhenUsed/>
    <w:pPr>
      <w:pBdr>
        <w:bottom w:val="single" w:sz="6" w:space="1" w:color="auto"/>
      </w:pBdr>
      <w:tabs>
        <w:tab w:val="center" w:pos="4153"/>
        <w:tab w:val="right" w:pos="8306"/>
      </w:tabs>
      <w:snapToGrid w:val="0"/>
      <w:spacing w:line="240" w:lineRule="atLeast"/>
      <w:jc w:val="center"/>
    </w:pPr>
    <w:rPr>
      <w:sz w:val="18"/>
      <w:szCs w:val="18"/>
    </w:rPr>
  </w:style>
  <w:style w:type="character" w:styleId="页眉Char">
    <w:name w:val="页眉 Char"/>
    <w:link w:val="页眉"/>
    <w:semiHidden/>
    <w:rPr>
      <w:sz w:val="18"/>
      <w:szCs w:val="18"/>
    </w:rPr>
  </w:style>
  <w:style w:type="paragraph" w:styleId="目录1">
    <w:name w:val="目录 1"/>
    <w:basedOn w:val="Normal"/>
    <w:next w:val="Normal"/>
    <w:uiPriority w:val="39"/>
    <w:unhideWhenUsed/>
    <w:qFormat/>
    <w:pPr>
      <w:widowControl/>
      <w:tabs>
        <w:tab w:val="right" w:leader="dot" w:pos="8296"/>
      </w:tabs>
      <w:adjustRightInd/>
      <w:spacing w:after="100" w:line="276" w:lineRule="auto"/>
      <w:textAlignment w:val="auto"/>
    </w:pPr>
    <w:rPr>
      <w:rFonts w:ascii="黑体" w:eastAsia="黑体" w:hAnsi="黑体" w:cs="方正小标宋简体"/>
      <w:sz w:val="22"/>
      <w:szCs w:val="22"/>
    </w:rPr>
  </w:style>
  <w:style w:type="paragraph" w:styleId="脚注文本">
    <w:name w:val="脚注文本"/>
    <w:basedOn w:val="Normal"/>
    <w:next w:val="正文首行缩进2"/>
    <w:semiHidden/>
    <w:qFormat/>
    <w:pPr>
      <w:snapToGrid w:val="0"/>
      <w:jc w:val="left"/>
    </w:pPr>
    <w:rPr>
      <w:sz w:val="18"/>
      <w:szCs w:val="18"/>
      <w:lang w:val="en-US" w:eastAsia="zh-CN"/>
    </w:rPr>
  </w:style>
  <w:style w:type="paragraph" w:styleId="目录2">
    <w:name w:val="目录 2"/>
    <w:basedOn w:val="Normal"/>
    <w:next w:val="Normal"/>
    <w:uiPriority w:val="39"/>
    <w:unhideWhenUsed/>
    <w:qFormat/>
    <w:pPr>
      <w:widowControl/>
      <w:adjustRightInd/>
      <w:spacing w:after="100" w:line="276" w:lineRule="auto"/>
      <w:ind w:left="220"/>
      <w:textAlignment w:val="auto"/>
    </w:pPr>
    <w:rPr>
      <w:rFonts w:ascii="Calibri" w:eastAsia="宋体" w:hAnsi="Calibri" w:cs="Times New Roman"/>
      <w:sz w:val="22"/>
      <w:szCs w:val="22"/>
    </w:rPr>
  </w:style>
  <w:style w:type="paragraph" w:styleId="普通(网站)">
    <w:name w:val="普通(网站)"/>
    <w:basedOn w:val="Normal"/>
    <w:uiPriority w:val="99"/>
    <w:unhideWhenUsed/>
    <w:qFormat/>
    <w:rPr>
      <w:sz w:val="24"/>
    </w:rPr>
  </w:style>
  <w:style w:type="character" w:styleId="Hyperlink">
    <w:name w:val="超链接"/>
    <w:uiPriority w:val="99"/>
    <w:unhideWhenUsed/>
    <w:rPr>
      <w:color w:val="0000FF"/>
      <w:u w:val="single"/>
    </w:rPr>
  </w:style>
  <w:style w:type="paragraph" w:styleId="TOC标题">
    <w:name w:val="TOC 标题"/>
    <w:basedOn w:val="标题1"/>
    <w:next w:val="Normal"/>
    <w:uiPriority w:val="39"/>
    <w:unhideWhenUsed/>
    <w:qFormat/>
    <w:pPr>
      <w:widowControl/>
      <w:adjustRightInd/>
      <w:spacing w:before="480" w:after="0" w:line="276" w:lineRule="auto"/>
      <w:textAlignment w:val="auto"/>
      <w:outlineLvl w:val="9"/>
    </w:pPr>
    <w:rPr>
      <w:rFonts w:ascii="Cambria" w:eastAsia="宋体" w:hAnsi="Cambria" w:cs="Times New Roman"/>
      <w:color w:val="365F91"/>
      <w:kern w:val="0.0"/>
      <w:sz w:val="28"/>
      <w:szCs w:val="28"/>
    </w:rPr>
  </w:style>
  <w:style w:type="character" w:styleId="font41">
    <w:name w:val="font41"/>
    <w:basedOn w:val="DefaultParagraphFont"/>
    <w:qFormat/>
    <w:rPr>
      <w:rFonts w:ascii="宋体" w:eastAsia="宋体" w:hAnsi="宋体" w:cs="宋体" w:hint="eastAsia"/>
      <w:color w:val="000000"/>
      <w:sz w:val="20"/>
      <w:szCs w:val="20"/>
      <w:u w:val="none"/>
    </w:rPr>
  </w:style>
  <w:style w:type="character" w:styleId="font11">
    <w:name w:val="font11"/>
    <w:basedOn w:val="DefaultParagraphFont"/>
    <w:qFormat/>
    <w:rPr>
      <w:rFonts w:ascii="宋体" w:eastAsia="宋体" w:hAnsi="宋体" w:cs="宋体" w:hint="eastAsia"/>
      <w:color w:val="000000"/>
      <w:sz w:val="22"/>
      <w:szCs w:val="22"/>
      <w:u w:val="none"/>
    </w:rPr>
  </w:style>
  <w:style w:type="table" w:styleId="普通表格1">
    <w:name w:val="普通表格1"/>
    <w:uiPriority w:val="99"/>
    <w:unhideWhenUsed/>
    <w:tblPr>
      <w:tblCellMar>
        <w:top w:w="0" w:type="dxa"/>
        <w:left w:w="108" w:type="dxa"/>
        <w:bottom w:w="0" w:type="dxa"/>
        <w:right w:w="108" w:type="dxa"/>
      </w:tblCellMar>
    </w:tblPr>
  </w:style>
  <w:style w:type="table" w:default="1" w:styleId="NormalTable">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NormalTabl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r="http://schemas.openxmlformats.org/officeDocument/2006/relationships" xmlns:w="http://schemas.openxmlformats.org/wordprocessingml/2006/main"/>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fontTable" Target="fontTable.xml" /><Relationship Id="rId2" Type="http://schemas.openxmlformats.org/officeDocument/2006/relationships/webSettings" Target="webSettings.xml" /><Relationship Id="rId3" Type="http://schemas.openxmlformats.org/officeDocument/2006/relationships/customXml" Target="../customXml/item1.xml" /><Relationship Id="rId4" Type="http://schemas.openxmlformats.org/officeDocument/2006/relationships/footer" Target="footer1.xml" /><Relationship Id="rId5" Type="http://schemas.openxmlformats.org/officeDocument/2006/relationships/footer" Target="footer2.xml" /><Relationship Id="rId6" Type="http://schemas.openxmlformats.org/officeDocument/2006/relationships/footer" Target="footer3.xml" /><Relationship Id="rId7" Type="http://schemas.openxmlformats.org/officeDocument/2006/relationships/footer" Target="footer4.xml" /><Relationship Id="rId8" Type="http://schemas.openxmlformats.org/officeDocument/2006/relationships/theme" Target="theme/theme1.xml" /><Relationship Id="rId9" Type="http://schemas.openxmlformats.org/officeDocument/2006/relationships/styles" Target="styles.xml" /></Relationships>
</file>

<file path=word/_rels/fontTable.xml.rels>&#65279;<?xml version="1.0" encoding="utf-8" standalone="yes"?><Relationships xmlns="http://schemas.openxmlformats.org/package/2006/relationships"><Relationship Id="rId1" Type="http://schemas.openxmlformats.org/officeDocument/2006/relationships/font" Target="fonts/font0.odttf" /><Relationship Id="rId10" Type="http://schemas.openxmlformats.org/officeDocument/2006/relationships/font" Target="fonts/font9.odttf" /><Relationship Id="rId11" Type="http://schemas.openxmlformats.org/officeDocument/2006/relationships/font" Target="fonts/font10.odttf" /><Relationship Id="rId12" Type="http://schemas.openxmlformats.org/officeDocument/2006/relationships/font" Target="fonts/font11.odttf" /><Relationship Id="rId13" Type="http://schemas.openxmlformats.org/officeDocument/2006/relationships/font" Target="fonts/font12.odttf" /><Relationship Id="rId14" Type="http://schemas.openxmlformats.org/officeDocument/2006/relationships/font" Target="fonts/font13.odttf" /><Relationship Id="rId15" Type="http://schemas.openxmlformats.org/officeDocument/2006/relationships/font" Target="fonts/font14.odttf" /><Relationship Id="rId16" Type="http://schemas.openxmlformats.org/officeDocument/2006/relationships/font" Target="fonts/font15.odttf" /><Relationship Id="rId2" Type="http://schemas.openxmlformats.org/officeDocument/2006/relationships/font" Target="fonts/font1.odttf" /><Relationship Id="rId3" Type="http://schemas.openxmlformats.org/officeDocument/2006/relationships/font" Target="fonts/font2.odttf" /><Relationship Id="rId4" Type="http://schemas.openxmlformats.org/officeDocument/2006/relationships/font" Target="fonts/font3.odttf" /><Relationship Id="rId5" Type="http://schemas.openxmlformats.org/officeDocument/2006/relationships/font" Target="fonts/font4.odttf" /><Relationship Id="rId6" Type="http://schemas.openxmlformats.org/officeDocument/2006/relationships/font" Target="fonts/font5.odttf" /><Relationship Id="rId7" Type="http://schemas.openxmlformats.org/officeDocument/2006/relationships/font" Target="fonts/font6.odttf" /><Relationship Id="rId8" Type="http://schemas.openxmlformats.org/officeDocument/2006/relationships/font" Target="fonts/font7.odttf" /><Relationship Id="rId9" Type="http://schemas.openxmlformats.org/officeDocument/2006/relationships/font" Target="fonts/font8.odttf"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Properties xmlns:vt="http://schemas.openxmlformats.org/officeDocument/2006/docPropsVTypes" xmlns="http://schemas.openxmlformats.org/officeDocument/2006/custom-properties">
  <property fmtid="{D5CDD505-2E9C-101B-9397-08002B2CF9AE}" pid="2" name="KSOProductBuildVer">
    <vt:lpwstr>2052-12.1.0.28043</vt:lpwstr>
  </property>
  <property fmtid="{D5CDD505-2E9C-101B-9397-08002B2CF9AE}" pid="3" name="ICV">
    <vt:lpwstr>56AC4530C9F84103A2590DEF3D491900_13</vt:lpwstr>
  </property>
  <property fmtid="{D5CDD505-2E9C-101B-9397-08002B2CF9AE}" pid="4" name="KSOTemplateDocerSaveRecord">
    <vt:lpwstr>eyJoZGlkIjoiMGMwOGFkMDkyMGVjOWVjMzc0YjBmOTUwNDI2MGMxYmMiLCJ1c2VySWQiOiI4ODc2NjQ3MTcifQ_x003D__x003D_</vt:lpwstr>
  </property>
</Properties>
</file>

<file path=customXml/itemProps1.xml><?xml version="1.0" encoding="utf-8"?>
<ds:datastoreItem xmlns:ds="http://schemas.openxmlformats.org/officeDocument/2006/customXml" ds:itemID="">
  <ds:schemaRefs/>
</ds:datastoreItem>
</file>

<file path=docProps/app.xml><?xml version="1.0" encoding="utf-8"?>
<Properties xmlns:vt="http://schemas.openxmlformats.org/officeDocument/2006/docPropsVTypes" xmlns="http://schemas.openxmlformats.org/officeDocument/2006/extended-properties">
  <Template>Normal.dot</Template>
  <Pages>28</Pages>
  <Words>1361</Words>
  <Characters>4504</Characters>
  <Application>WPS Office_12.1.0.26895_F1E327BC-269C-435d-A152-05C5408002CA</Application>
  <DocSecurity>0</DocSecurity>
  <Lines>60</Lines>
  <Paragraphs>16</Paragraphs>
  <ScaleCrop>false</ScaleCrop>
  <Company>Microsoft</Company>
  <LinksUpToDate>false</LinksUpToDate>
  <CharactersWithSpaces>4622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附件1</dc:title>
  <dc:creator>Administrator</dc:creator>
  <cp:lastModifiedBy>听鸣</cp:lastModifiedBy>
  <cp:revision>1</cp:revision>
  <cp:lastPrinted>2025-06-25T07:52:17Z</cp:lastPrinted>
  <dcterms:created xsi:type="dcterms:W3CDTF">2019-07-27T18:37:00Z</dcterms:created>
  <dcterms:modified xsi:type="dcterms:W3CDTF">2026-08-05T06:13:04Z</dcterms:modified>
</cp:coreProperties>
</file>

<file path=docProps/custom.xml><?xml version="1.0" encoding="utf-8"?>
<Properties xmlns:vt="http://schemas.openxmlformats.org/officeDocument/2006/docPropsVTypes" xmlns="http://schemas.openxmlformats.org/officeDocument/2006/custom-properties">
  <property fmtid="{D5CDD505-2E9C-101B-9397-08002B2CF9AE}" pid="2" name="KSOProductBuildVer">
    <vt:lpwstr>2052-12.1.0.28043</vt:lpwstr>
  </property>
  <property fmtid="{D5CDD505-2E9C-101B-9397-08002B2CF9AE}" pid="3" name="ICV">
    <vt:lpwstr>56AC4530C9F84103A2590DEF3D491900_13</vt:lpwstr>
  </property>
  <property fmtid="{D5CDD505-2E9C-101B-9397-08002B2CF9AE}" pid="4" name="KSOTemplateDocerSaveRecord">
    <vt:lpwstr>eyJoZGlkIjoiMGMwOGFkMDkyMGVjOWVjMzc0YjBmOTUwNDI2MGMxYmMiLCJ1c2VySWQiOiI4ODc2NjQ3MTcifQ_x003D__x003D_</vt:lpwstr>
  </property>
</Properties>
</file>